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0042B092" w14:textId="77777777" w:rsidTr="0083709B">
        <w:trPr>
          <w:trHeight w:val="852"/>
          <w:jc w:val="center"/>
        </w:trPr>
        <w:tc>
          <w:tcPr>
            <w:tcW w:w="6940" w:type="dxa"/>
            <w:vMerge w:val="restart"/>
            <w:tcBorders>
              <w:right w:val="single" w:sz="4" w:space="0" w:color="auto"/>
            </w:tcBorders>
          </w:tcPr>
          <w:p w14:paraId="2D52070C"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39AD35E7" wp14:editId="44F9A221">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3EE533BF" w14:textId="77777777"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2" w:type="dxa"/>
            <w:tcBorders>
              <w:left w:val="single" w:sz="4" w:space="0" w:color="auto"/>
              <w:bottom w:val="nil"/>
              <w:right w:val="single" w:sz="4" w:space="0" w:color="auto"/>
            </w:tcBorders>
          </w:tcPr>
          <w:p w14:paraId="79FEFECD"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4681E533" w14:textId="77777777" w:rsidR="000A03B2" w:rsidRPr="00B57B36" w:rsidRDefault="000A03B2" w:rsidP="00CD5FE2">
            <w:pPr>
              <w:jc w:val="right"/>
            </w:pPr>
            <w:r w:rsidRPr="00B57B36">
              <w:rPr>
                <w:noProof/>
                <w:lang w:val="it-IT" w:eastAsia="it-IT"/>
              </w:rPr>
              <w:drawing>
                <wp:inline distT="0" distB="0" distL="0" distR="0" wp14:anchorId="37CDA335" wp14:editId="66FAEC36">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43680E09" w14:textId="77777777" w:rsidTr="0083709B">
        <w:trPr>
          <w:trHeight w:val="567"/>
          <w:jc w:val="center"/>
        </w:trPr>
        <w:tc>
          <w:tcPr>
            <w:tcW w:w="6940" w:type="dxa"/>
            <w:vMerge/>
            <w:tcBorders>
              <w:right w:val="single" w:sz="4" w:space="0" w:color="auto"/>
            </w:tcBorders>
          </w:tcPr>
          <w:p w14:paraId="197C78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573141EE"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17BB2A0D"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0248F192" w14:textId="77777777"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7B2206C1" w14:textId="77777777" w:rsidTr="0083709B">
        <w:trPr>
          <w:trHeight w:val="68"/>
          <w:jc w:val="center"/>
        </w:trPr>
        <w:tc>
          <w:tcPr>
            <w:tcW w:w="8782" w:type="dxa"/>
            <w:gridSpan w:val="2"/>
          </w:tcPr>
          <w:p w14:paraId="09EF3841" w14:textId="77777777"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3A6FC6" w:rsidRPr="003A6FC6">
              <w:rPr>
                <w:rFonts w:ascii="Tahoma" w:hAnsi="Tahoma" w:cs="Tahoma"/>
                <w:color w:val="000000"/>
                <w:sz w:val="14"/>
                <w:szCs w:val="14"/>
                <w:shd w:val="clear" w:color="auto" w:fill="FFFFFF"/>
                <w:lang w:val="it-IT"/>
              </w:rPr>
              <w:t>Laura Piazza, M</w:t>
            </w:r>
            <w:r w:rsidR="003A6FC6">
              <w:rPr>
                <w:rFonts w:ascii="Tahoma" w:hAnsi="Tahoma" w:cs="Tahoma"/>
                <w:color w:val="000000"/>
                <w:sz w:val="14"/>
                <w:szCs w:val="14"/>
                <w:shd w:val="clear" w:color="auto" w:fill="FFFFFF"/>
                <w:lang w:val="it-IT"/>
              </w:rPr>
              <w:t>auro Moresi, Francesco Donsì</w:t>
            </w:r>
          </w:p>
          <w:p w14:paraId="394DDCF2" w14:textId="77777777"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E33DD7">
              <w:rPr>
                <w:rFonts w:ascii="Tahoma" w:hAnsi="Tahoma" w:cs="Tahoma"/>
                <w:sz w:val="14"/>
                <w:szCs w:val="14"/>
              </w:rPr>
              <w:t>0</w:t>
            </w:r>
            <w:r w:rsidR="003A6FC6">
              <w:rPr>
                <w:rFonts w:ascii="Tahoma" w:hAnsi="Tahoma" w:cs="Tahoma"/>
                <w:sz w:val="14"/>
                <w:szCs w:val="14"/>
              </w:rPr>
              <w:t>1</w:t>
            </w:r>
            <w:r>
              <w:rPr>
                <w:rFonts w:ascii="Tahoma" w:hAnsi="Tahoma" w:cs="Tahoma"/>
                <w:sz w:val="14"/>
                <w:szCs w:val="14"/>
              </w:rPr>
              <w:t>-</w:t>
            </w:r>
            <w:r w:rsidR="003A6FC6">
              <w:rPr>
                <w:rFonts w:ascii="Tahoma" w:hAnsi="Tahoma" w:cs="Tahoma"/>
                <w:sz w:val="14"/>
                <w:szCs w:val="14"/>
              </w:rPr>
              <w:t>4</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67A26C00" w14:textId="06FA88E3" w:rsidR="0083709B" w:rsidRPr="00C07B5E" w:rsidRDefault="00C07B5E" w:rsidP="00AF3CA4">
      <w:pPr>
        <w:pStyle w:val="CETTitle"/>
      </w:pPr>
      <w:r w:rsidRPr="00C07B5E">
        <w:t xml:space="preserve">Development of a </w:t>
      </w:r>
      <w:r w:rsidR="00AF3CA4">
        <w:t>S</w:t>
      </w:r>
      <w:r w:rsidRPr="00C07B5E">
        <w:t xml:space="preserve">implified </w:t>
      </w:r>
      <w:r w:rsidR="00993A0F">
        <w:t>System for the Continuous PEF T</w:t>
      </w:r>
      <w:r w:rsidRPr="00C07B5E">
        <w:t xml:space="preserve">reatment of </w:t>
      </w:r>
      <w:r w:rsidR="00993A0F">
        <w:t>Olives P</w:t>
      </w:r>
      <w:r w:rsidRPr="00C07B5E">
        <w:t>aste</w:t>
      </w:r>
    </w:p>
    <w:p w14:paraId="33DAA492" w14:textId="2BFB1CC6" w:rsidR="00B57E6F" w:rsidRPr="00991EEE" w:rsidRDefault="006622A2" w:rsidP="0083709B">
      <w:pPr>
        <w:pStyle w:val="CETAuthors"/>
        <w:rPr>
          <w:lang w:val="it-IT"/>
        </w:rPr>
      </w:pPr>
      <w:r w:rsidRPr="00991EEE">
        <w:rPr>
          <w:lang w:val="it-IT"/>
        </w:rPr>
        <w:t>Alessandro Leone</w:t>
      </w:r>
      <w:r w:rsidR="00AF3CA4">
        <w:rPr>
          <w:vertAlign w:val="superscript"/>
          <w:lang w:val="it-IT"/>
        </w:rPr>
        <w:t>a</w:t>
      </w:r>
      <w:r w:rsidR="00AF3CA4" w:rsidRPr="00991EEE">
        <w:rPr>
          <w:lang w:val="it-IT"/>
        </w:rPr>
        <w:t xml:space="preserve">, </w:t>
      </w:r>
      <w:r w:rsidRPr="00991EEE">
        <w:rPr>
          <w:lang w:val="it-IT"/>
        </w:rPr>
        <w:t>Luciano Mescia</w:t>
      </w:r>
      <w:r w:rsidRPr="00991EEE">
        <w:rPr>
          <w:vertAlign w:val="superscript"/>
          <w:lang w:val="it-IT"/>
        </w:rPr>
        <w:t>b</w:t>
      </w:r>
      <w:r w:rsidR="00A258C4" w:rsidRPr="00991EEE">
        <w:rPr>
          <w:lang w:val="it-IT"/>
        </w:rPr>
        <w:t xml:space="preserve">, </w:t>
      </w:r>
      <w:r w:rsidRPr="00991EEE">
        <w:rPr>
          <w:lang w:val="it-IT"/>
        </w:rPr>
        <w:t>Antonio Berardi</w:t>
      </w:r>
      <w:r w:rsidRPr="00991EEE">
        <w:rPr>
          <w:vertAlign w:val="superscript"/>
          <w:lang w:val="it-IT"/>
        </w:rPr>
        <w:t>a,</w:t>
      </w:r>
      <w:r w:rsidRPr="00991EEE">
        <w:rPr>
          <w:lang w:val="it-IT"/>
        </w:rPr>
        <w:t xml:space="preserve">*, </w:t>
      </w:r>
      <w:r w:rsidR="002F16BC">
        <w:rPr>
          <w:lang w:val="it-IT"/>
        </w:rPr>
        <w:t>Cosimo Damiani Dellisanti</w:t>
      </w:r>
      <w:r w:rsidR="002F16BC" w:rsidRPr="009E5537">
        <w:rPr>
          <w:vertAlign w:val="superscript"/>
          <w:lang w:val="it-IT"/>
        </w:rPr>
        <w:t>a</w:t>
      </w:r>
      <w:r w:rsidR="002F16BC" w:rsidRPr="009E5537">
        <w:rPr>
          <w:lang w:val="it-IT"/>
        </w:rPr>
        <w:t xml:space="preserve">, </w:t>
      </w:r>
      <w:r w:rsidRPr="00991EEE">
        <w:rPr>
          <w:lang w:val="it-IT"/>
        </w:rPr>
        <w:t>Claudio Lamacchia</w:t>
      </w:r>
      <w:r w:rsidRPr="00991EEE">
        <w:rPr>
          <w:vertAlign w:val="superscript"/>
          <w:lang w:val="it-IT"/>
        </w:rPr>
        <w:t>c</w:t>
      </w:r>
      <w:r w:rsidRPr="00991EEE">
        <w:rPr>
          <w:lang w:val="it-IT"/>
        </w:rPr>
        <w:t xml:space="preserve">, </w:t>
      </w:r>
      <w:r w:rsidR="0083709B" w:rsidRPr="00991EEE">
        <w:rPr>
          <w:lang w:val="it-IT"/>
        </w:rPr>
        <w:t>Antonia Tamborrino</w:t>
      </w:r>
      <w:r w:rsidR="00B57E6F" w:rsidRPr="00991EEE">
        <w:rPr>
          <w:vertAlign w:val="superscript"/>
          <w:lang w:val="it-IT"/>
        </w:rPr>
        <w:t>a</w:t>
      </w:r>
    </w:p>
    <w:p w14:paraId="65E8486F" w14:textId="77777777" w:rsidR="0083709B" w:rsidRDefault="00B57E6F" w:rsidP="0083709B">
      <w:pPr>
        <w:pStyle w:val="CETAddress"/>
      </w:pPr>
      <w:r w:rsidRPr="00B57B36">
        <w:rPr>
          <w:vertAlign w:val="superscript"/>
        </w:rPr>
        <w:t>a</w:t>
      </w:r>
      <w:r w:rsidR="0083709B" w:rsidRPr="0083709B">
        <w:t xml:space="preserve"> Department of Soil, Plant and Food Sciences, University of Bari Aldo Moro, Via Amendola 165/A, Bari, 70126, Italy</w:t>
      </w:r>
    </w:p>
    <w:p w14:paraId="1B2FAA89" w14:textId="77777777" w:rsidR="00A258C4" w:rsidRDefault="00A258C4" w:rsidP="00A258C4">
      <w:pPr>
        <w:pStyle w:val="CETAddress"/>
      </w:pPr>
      <w:r w:rsidRPr="00A258C4">
        <w:rPr>
          <w:vertAlign w:val="superscript"/>
        </w:rPr>
        <w:t>b</w:t>
      </w:r>
      <w:r>
        <w:t xml:space="preserve"> Department of Electrical and Information Engineering, Politecnico di Bari, Via E. Orabona 4, Bari, 70125, Italy</w:t>
      </w:r>
    </w:p>
    <w:p w14:paraId="0EAE05F1" w14:textId="77777777" w:rsidR="00A258C4" w:rsidRDefault="00A258C4" w:rsidP="00A258C4">
      <w:pPr>
        <w:pStyle w:val="CETAddress"/>
      </w:pPr>
      <w:r w:rsidRPr="00A258C4">
        <w:rPr>
          <w:vertAlign w:val="superscript"/>
        </w:rPr>
        <w:t>c</w:t>
      </w:r>
      <w:r>
        <w:t xml:space="preserve"> IAMAtek srl, Bari, Italy</w:t>
      </w:r>
    </w:p>
    <w:p w14:paraId="45269C8F" w14:textId="5E8E06C0" w:rsidR="0083709B" w:rsidRDefault="00F511AF" w:rsidP="0083709B">
      <w:pPr>
        <w:pStyle w:val="CETAddress"/>
      </w:pPr>
      <w:r>
        <w:t>antonio.berardi@uniba.it</w:t>
      </w:r>
      <w:bookmarkStart w:id="0" w:name="_GoBack"/>
      <w:bookmarkEnd w:id="0"/>
    </w:p>
    <w:p w14:paraId="5B724EF0" w14:textId="77777777" w:rsidR="00F511AF" w:rsidRDefault="00F511AF" w:rsidP="0083709B">
      <w:pPr>
        <w:pStyle w:val="CETAddress"/>
      </w:pPr>
    </w:p>
    <w:p w14:paraId="4BDAD4BA" w14:textId="77777777" w:rsidR="0023357F" w:rsidRPr="00B57B36" w:rsidRDefault="0023357F" w:rsidP="0023357F">
      <w:pPr>
        <w:pStyle w:val="CETHeading1"/>
        <w:rPr>
          <w:lang w:val="en-GB"/>
        </w:rPr>
      </w:pPr>
      <w:r>
        <w:rPr>
          <w:lang w:val="en-GB"/>
        </w:rPr>
        <w:t>Abstract</w:t>
      </w:r>
    </w:p>
    <w:p w14:paraId="7550E1A7" w14:textId="251EB80E" w:rsidR="003909A2" w:rsidRPr="00993A0F" w:rsidRDefault="0023357F" w:rsidP="00993A0F">
      <w:pPr>
        <w:pStyle w:val="CETBodytext"/>
        <w:rPr>
          <w:lang w:val="en-GB"/>
        </w:rPr>
      </w:pPr>
      <w:r w:rsidRPr="00993A0F">
        <w:rPr>
          <w:lang w:val="en-GB"/>
        </w:rPr>
        <w:t>The olive oil extraction is a complex process that requires several machines arranged in series until the plant is built. Currently, the extraction process does not allow the totality of the oil present in the olives to be extracted, unfortunately a significant amount of the product is lost in the by-products and waste. Recently the pulsed electric fields (PEF) applied to the process have given positive effects by increasing the percentage of oil extracted compared to the traditional plant configuration. In order to allow a greater diffusion of this technology in the mill, a simplified PEF plant it has been developed specifically for small oil extraction plants and an experimental test program has been developed to verify the effectiveness of the technology. A comparative experimental tests plant was carried out using two different varieties of olives (Frantoio and Leccino) treated at two different specific energies (4.0 and 5.0 kJ</w:t>
      </w:r>
      <w:r w:rsidR="005A1150">
        <w:rPr>
          <w:lang w:val="en-GB"/>
        </w:rPr>
        <w:t xml:space="preserve"> </w:t>
      </w:r>
      <w:r w:rsidRPr="00993A0F">
        <w:rPr>
          <w:lang w:val="en-GB"/>
        </w:rPr>
        <w:t>kg-1), the amount of olive oil lost in the pomace and extractability was found. The results showed that the treatment of the olive pastes in the pre-malaxation (5.0 kJ</w:t>
      </w:r>
      <w:r w:rsidR="005A1150">
        <w:rPr>
          <w:lang w:val="en-GB"/>
        </w:rPr>
        <w:t xml:space="preserve"> </w:t>
      </w:r>
      <w:r w:rsidRPr="00993A0F">
        <w:rPr>
          <w:lang w:val="en-GB"/>
        </w:rPr>
        <w:t xml:space="preserve">kg-1) </w:t>
      </w:r>
      <w:r w:rsidR="00D42820">
        <w:rPr>
          <w:lang w:val="en-GB"/>
        </w:rPr>
        <w:t>led to</w:t>
      </w:r>
      <w:r w:rsidRPr="00993A0F">
        <w:rPr>
          <w:lang w:val="en-GB"/>
        </w:rPr>
        <w:t xml:space="preserve"> significantly increased </w:t>
      </w:r>
      <w:r w:rsidR="00D42820" w:rsidRPr="00D42820">
        <w:rPr>
          <w:lang w:val="en-GB"/>
        </w:rPr>
        <w:t xml:space="preserve">oil extractability </w:t>
      </w:r>
      <w:r w:rsidRPr="00993A0F">
        <w:rPr>
          <w:lang w:val="en-GB"/>
        </w:rPr>
        <w:t>compared to the control by about 4% (absolute value) for the Frantoio variety, and by about 3 % (absolute value) for the Leccino variety, while reducing the percentage of oil lost in the pomace.</w:t>
      </w:r>
      <w:r w:rsidR="00993A0F">
        <w:rPr>
          <w:lang w:val="en-GB"/>
        </w:rPr>
        <w:t xml:space="preserve"> </w:t>
      </w:r>
      <w:r w:rsidRPr="00993A0F">
        <w:rPr>
          <w:lang w:val="en-GB"/>
        </w:rPr>
        <w:t>Further studies on the better adjustment of the operating parameters of the PEF system seem to be needed.</w:t>
      </w:r>
    </w:p>
    <w:p w14:paraId="4D85FEEF" w14:textId="064668F5" w:rsidR="00600535" w:rsidRPr="00B57B36" w:rsidRDefault="0062227E" w:rsidP="0062227E">
      <w:pPr>
        <w:pStyle w:val="CETHeading1"/>
        <w:tabs>
          <w:tab w:val="left" w:pos="284"/>
        </w:tabs>
        <w:rPr>
          <w:lang w:val="en-GB"/>
        </w:rPr>
      </w:pPr>
      <w:r>
        <w:rPr>
          <w:lang w:val="en-GB"/>
        </w:rPr>
        <w:t>1.</w:t>
      </w:r>
      <w:r>
        <w:rPr>
          <w:lang w:val="en-GB"/>
        </w:rPr>
        <w:tab/>
      </w:r>
      <w:r w:rsidR="00600535" w:rsidRPr="00B57B36">
        <w:rPr>
          <w:lang w:val="en-GB"/>
        </w:rPr>
        <w:t>Introduction</w:t>
      </w:r>
    </w:p>
    <w:p w14:paraId="6E812669" w14:textId="77777777" w:rsidR="00E668FF" w:rsidRPr="00993A0F" w:rsidRDefault="00E668FF" w:rsidP="00E668FF">
      <w:pPr>
        <w:pStyle w:val="CETBodytext"/>
        <w:rPr>
          <w:lang w:val="en-GB"/>
        </w:rPr>
      </w:pPr>
      <w:r w:rsidRPr="00993A0F">
        <w:rPr>
          <w:lang w:val="en-GB"/>
        </w:rPr>
        <w:t>Pulsed Electric Field (PEF) is a technology that involves the use of short pulses of high-voltage electric fields.</w:t>
      </w:r>
    </w:p>
    <w:p w14:paraId="3EFE0BA9" w14:textId="0202821F" w:rsidR="00C07B5E" w:rsidRPr="00993A0F" w:rsidRDefault="00E668FF" w:rsidP="00363840">
      <w:pPr>
        <w:pStyle w:val="CETBodytext"/>
        <w:rPr>
          <w:lang w:val="en-GB"/>
        </w:rPr>
      </w:pPr>
      <w:r w:rsidRPr="00993A0F">
        <w:rPr>
          <w:lang w:val="en-GB"/>
        </w:rPr>
        <w:t>When applied to biological matrices the electric field can permeabilize</w:t>
      </w:r>
      <w:r w:rsidR="001C2AB1">
        <w:rPr>
          <w:lang w:val="en-GB"/>
        </w:rPr>
        <w:t xml:space="preserve"> </w:t>
      </w:r>
      <w:r w:rsidRPr="00993A0F">
        <w:rPr>
          <w:lang w:val="en-GB"/>
        </w:rPr>
        <w:t>cell membranes, causing an increase in the permeability of the cell membrane, and ultimately leading to rupture of the membrane, to cell death or inactivation of microorganisms</w:t>
      </w:r>
      <w:r w:rsidR="00765B57" w:rsidRPr="00993A0F">
        <w:rPr>
          <w:lang w:val="en-GB"/>
        </w:rPr>
        <w:t xml:space="preserve"> (Chen et al.</w:t>
      </w:r>
      <w:r w:rsidR="005C58EC" w:rsidRPr="00993A0F">
        <w:rPr>
          <w:lang w:val="en-GB"/>
        </w:rPr>
        <w:t>,</w:t>
      </w:r>
      <w:r w:rsidR="00765B57" w:rsidRPr="00993A0F">
        <w:rPr>
          <w:lang w:val="en-GB"/>
        </w:rPr>
        <w:t xml:space="preserve"> 2023</w:t>
      </w:r>
      <w:r w:rsidR="005C58EC" w:rsidRPr="00993A0F">
        <w:rPr>
          <w:lang w:val="en-GB"/>
        </w:rPr>
        <w:t>;</w:t>
      </w:r>
      <w:r w:rsidR="00765B57" w:rsidRPr="00993A0F">
        <w:rPr>
          <w:lang w:val="en-GB"/>
        </w:rPr>
        <w:t xml:space="preserve"> Arshad et al.</w:t>
      </w:r>
      <w:r w:rsidR="005C58EC" w:rsidRPr="00993A0F">
        <w:rPr>
          <w:lang w:val="en-GB"/>
        </w:rPr>
        <w:t>,</w:t>
      </w:r>
      <w:r w:rsidR="00765B57" w:rsidRPr="00993A0F">
        <w:rPr>
          <w:lang w:val="en-GB"/>
        </w:rPr>
        <w:t xml:space="preserve"> 2020)</w:t>
      </w:r>
      <w:r w:rsidRPr="00993A0F">
        <w:rPr>
          <w:lang w:val="en-GB"/>
        </w:rPr>
        <w:t>.</w:t>
      </w:r>
      <w:r w:rsidR="00993A0F">
        <w:rPr>
          <w:lang w:val="en-GB"/>
        </w:rPr>
        <w:t xml:space="preserve"> </w:t>
      </w:r>
      <w:r w:rsidRPr="00993A0F">
        <w:rPr>
          <w:lang w:val="en-GB"/>
        </w:rPr>
        <w:t>In the food industry, PEF is commonly used to process juices, dairy products, liquid egg, and other liquid foods as a non-thermal preservation technique to reduce or eliminate the microorganisms present in the food, and as a technique for extraction of bioactive compounds. The use of PEF can also improve the quality and nutritional value of the food products</w:t>
      </w:r>
      <w:r w:rsidR="00765B57" w:rsidRPr="00993A0F">
        <w:rPr>
          <w:lang w:val="en-GB"/>
        </w:rPr>
        <w:t xml:space="preserve"> (Izabelanair et al.</w:t>
      </w:r>
      <w:r w:rsidR="005C58EC" w:rsidRPr="00993A0F">
        <w:rPr>
          <w:lang w:val="en-GB"/>
        </w:rPr>
        <w:t>,</w:t>
      </w:r>
      <w:r w:rsidR="00765B57" w:rsidRPr="00993A0F">
        <w:rPr>
          <w:lang w:val="en-GB"/>
        </w:rPr>
        <w:t xml:space="preserve"> 2018</w:t>
      </w:r>
      <w:r w:rsidR="005C58EC" w:rsidRPr="00993A0F">
        <w:rPr>
          <w:lang w:val="en-GB"/>
        </w:rPr>
        <w:t>;</w:t>
      </w:r>
      <w:r w:rsidR="00765B57" w:rsidRPr="00993A0F">
        <w:rPr>
          <w:lang w:val="en-GB"/>
        </w:rPr>
        <w:t xml:space="preserve"> Mannozzi et al.</w:t>
      </w:r>
      <w:r w:rsidR="005C58EC" w:rsidRPr="00993A0F">
        <w:rPr>
          <w:lang w:val="en-GB"/>
        </w:rPr>
        <w:t>,</w:t>
      </w:r>
      <w:r w:rsidR="00765B57" w:rsidRPr="00993A0F">
        <w:rPr>
          <w:lang w:val="en-GB"/>
        </w:rPr>
        <w:t xml:space="preserve"> 2019</w:t>
      </w:r>
      <w:r w:rsidR="005C58EC" w:rsidRPr="00993A0F">
        <w:rPr>
          <w:lang w:val="en-GB"/>
        </w:rPr>
        <w:t>;</w:t>
      </w:r>
      <w:r w:rsidR="00765B57" w:rsidRPr="00993A0F">
        <w:rPr>
          <w:lang w:val="en-GB"/>
        </w:rPr>
        <w:t xml:space="preserve"> Ferreira et al.</w:t>
      </w:r>
      <w:r w:rsidR="005C58EC" w:rsidRPr="00993A0F">
        <w:rPr>
          <w:lang w:val="en-GB"/>
        </w:rPr>
        <w:t>,</w:t>
      </w:r>
      <w:r w:rsidR="00765B57" w:rsidRPr="00993A0F">
        <w:rPr>
          <w:lang w:val="en-GB"/>
        </w:rPr>
        <w:t xml:space="preserve"> 2019</w:t>
      </w:r>
      <w:r w:rsidR="005C58EC" w:rsidRPr="00993A0F">
        <w:rPr>
          <w:lang w:val="en-GB"/>
        </w:rPr>
        <w:t>;</w:t>
      </w:r>
      <w:r w:rsidR="00765B57" w:rsidRPr="00993A0F">
        <w:rPr>
          <w:lang w:val="en-GB"/>
        </w:rPr>
        <w:t xml:space="preserve"> Barba et al.</w:t>
      </w:r>
      <w:r w:rsidR="005C58EC" w:rsidRPr="00993A0F">
        <w:rPr>
          <w:lang w:val="en-GB"/>
        </w:rPr>
        <w:t>,</w:t>
      </w:r>
      <w:r w:rsidR="00765B57" w:rsidRPr="00993A0F">
        <w:rPr>
          <w:lang w:val="en-GB"/>
        </w:rPr>
        <w:t xml:space="preserve"> 2016</w:t>
      </w:r>
      <w:r w:rsidR="005C58EC" w:rsidRPr="00993A0F">
        <w:rPr>
          <w:lang w:val="en-GB"/>
        </w:rPr>
        <w:t>;</w:t>
      </w:r>
      <w:r w:rsidR="00765B57" w:rsidRPr="00993A0F">
        <w:rPr>
          <w:lang w:val="en-GB"/>
        </w:rPr>
        <w:t xml:space="preserve"> Bekhit et al.</w:t>
      </w:r>
      <w:r w:rsidR="005C58EC" w:rsidRPr="00993A0F">
        <w:rPr>
          <w:lang w:val="en-GB"/>
        </w:rPr>
        <w:t>,</w:t>
      </w:r>
      <w:r w:rsidR="00765B57" w:rsidRPr="00993A0F">
        <w:rPr>
          <w:lang w:val="en-GB"/>
        </w:rPr>
        <w:t xml:space="preserve"> 2014</w:t>
      </w:r>
      <w:r w:rsidR="005C58EC" w:rsidRPr="00993A0F">
        <w:rPr>
          <w:lang w:val="en-GB"/>
        </w:rPr>
        <w:t>;</w:t>
      </w:r>
      <w:r w:rsidR="009A6D69" w:rsidRPr="00993A0F">
        <w:rPr>
          <w:lang w:val="en-GB"/>
        </w:rPr>
        <w:t xml:space="preserve"> Barba et al.</w:t>
      </w:r>
      <w:r w:rsidR="005C58EC" w:rsidRPr="00993A0F">
        <w:rPr>
          <w:lang w:val="en-GB"/>
        </w:rPr>
        <w:t>,</w:t>
      </w:r>
      <w:r w:rsidR="009A6D69" w:rsidRPr="00993A0F">
        <w:rPr>
          <w:lang w:val="en-GB"/>
        </w:rPr>
        <w:t xml:space="preserve"> 2015</w:t>
      </w:r>
      <w:r w:rsidR="00765B57" w:rsidRPr="00993A0F">
        <w:rPr>
          <w:lang w:val="en-GB"/>
        </w:rPr>
        <w:t>)</w:t>
      </w:r>
      <w:r w:rsidRPr="00993A0F">
        <w:rPr>
          <w:lang w:val="en-GB"/>
        </w:rPr>
        <w:t>.</w:t>
      </w:r>
      <w:r w:rsidR="00993A0F">
        <w:rPr>
          <w:lang w:val="en-GB"/>
        </w:rPr>
        <w:t xml:space="preserve"> </w:t>
      </w:r>
      <w:r w:rsidRPr="00993A0F">
        <w:rPr>
          <w:lang w:val="en-GB"/>
        </w:rPr>
        <w:t>It is a promising technology due to its low energy consumption, high efficiency, and preservation of the sensory and nutritional quality of the treated food products.</w:t>
      </w:r>
      <w:r w:rsidR="004F2305" w:rsidRPr="00993A0F">
        <w:rPr>
          <w:lang w:val="en-GB"/>
        </w:rPr>
        <w:t xml:space="preserve"> </w:t>
      </w:r>
      <w:r w:rsidRPr="00993A0F">
        <w:rPr>
          <w:lang w:val="en-GB"/>
        </w:rPr>
        <w:t>PEF has also been explored for its potential use in medical and pharmaceutical applications</w:t>
      </w:r>
      <w:r w:rsidR="003030BB" w:rsidRPr="00993A0F">
        <w:rPr>
          <w:lang w:val="en-GB"/>
        </w:rPr>
        <w:t xml:space="preserve"> (Zhou et al. 2023)</w:t>
      </w:r>
      <w:r w:rsidRPr="00993A0F">
        <w:rPr>
          <w:lang w:val="en-GB"/>
        </w:rPr>
        <w:t>.</w:t>
      </w:r>
      <w:r w:rsidR="00993A0F">
        <w:rPr>
          <w:lang w:val="en-GB"/>
        </w:rPr>
        <w:t xml:space="preserve"> </w:t>
      </w:r>
      <w:r w:rsidRPr="00993A0F">
        <w:rPr>
          <w:lang w:val="en-GB"/>
        </w:rPr>
        <w:t xml:space="preserve">PEF treatment has been shown to enhance the quality of olive oil by improving its sensory and nutritional properties, as well as increasing its yield. </w:t>
      </w:r>
      <w:r w:rsidR="00881B19" w:rsidRPr="00993A0F">
        <w:rPr>
          <w:lang w:val="en-GB"/>
        </w:rPr>
        <w:t xml:space="preserve">The oil extraction plant consists of machines arranged in series that carry out the process (Squeo et al. 2017, Leone et al. 2015, Tamborrino et al. 2010). </w:t>
      </w:r>
      <w:r w:rsidRPr="00993A0F">
        <w:rPr>
          <w:lang w:val="en-GB"/>
        </w:rPr>
        <w:t xml:space="preserve">During PEF treatment, olives or olive pastes are subjected to a high-voltage electric field for a very short </w:t>
      </w:r>
      <w:r w:rsidR="00765B57" w:rsidRPr="00993A0F">
        <w:rPr>
          <w:lang w:val="en-GB"/>
        </w:rPr>
        <w:t>period</w:t>
      </w:r>
      <w:r w:rsidR="00881B19" w:rsidRPr="00993A0F">
        <w:rPr>
          <w:lang w:val="en-GB"/>
        </w:rPr>
        <w:t xml:space="preserve"> placing a PEF system at the beginning of the process to treat the olives or between the crusher and kneaders to treat the pastes.</w:t>
      </w:r>
      <w:r w:rsidRPr="00993A0F">
        <w:rPr>
          <w:lang w:val="en-GB"/>
        </w:rPr>
        <w:t xml:space="preserve"> This causes the cell membranes of the olive fruit to break down, releasing more oil and increasing the yield.</w:t>
      </w:r>
      <w:r w:rsidR="00993A0F">
        <w:rPr>
          <w:lang w:val="en-GB"/>
        </w:rPr>
        <w:t xml:space="preserve"> </w:t>
      </w:r>
      <w:r w:rsidRPr="00993A0F">
        <w:rPr>
          <w:lang w:val="en-GB"/>
        </w:rPr>
        <w:t xml:space="preserve">Several studies have investigated the effect of PEF treatment </w:t>
      </w:r>
      <w:r w:rsidRPr="00993A0F">
        <w:rPr>
          <w:lang w:val="en-GB"/>
        </w:rPr>
        <w:lastRenderedPageBreak/>
        <w:t>on different olive cultivars to produce olive oil. In</w:t>
      </w:r>
      <w:r w:rsidR="001F522A" w:rsidRPr="00993A0F">
        <w:rPr>
          <w:lang w:val="en-GB"/>
        </w:rPr>
        <w:t xml:space="preserve"> Abenoza et al 2013 </w:t>
      </w:r>
      <w:r w:rsidRPr="00993A0F">
        <w:rPr>
          <w:lang w:val="en-GB"/>
        </w:rPr>
        <w:t>the effect of PEF on olive oil extraction from Arbequina</w:t>
      </w:r>
      <w:r w:rsidR="001F522A" w:rsidRPr="00993A0F">
        <w:rPr>
          <w:lang w:val="en-GB"/>
        </w:rPr>
        <w:t xml:space="preserve"> variety was studied. An enhancement</w:t>
      </w:r>
      <w:r w:rsidRPr="00993A0F">
        <w:rPr>
          <w:lang w:val="en-GB"/>
        </w:rPr>
        <w:t xml:space="preserve"> </w:t>
      </w:r>
      <w:r w:rsidR="001F522A" w:rsidRPr="00993A0F">
        <w:rPr>
          <w:lang w:val="en-GB"/>
        </w:rPr>
        <w:t xml:space="preserve">of yield, reduction of the malaxation temperature and without generate any bad </w:t>
      </w:r>
      <w:r w:rsidR="00D42820" w:rsidRPr="00993A0F">
        <w:rPr>
          <w:lang w:val="en-GB"/>
        </w:rPr>
        <w:t>flavour</w:t>
      </w:r>
      <w:r w:rsidR="001F522A" w:rsidRPr="00993A0F">
        <w:rPr>
          <w:lang w:val="en-GB"/>
        </w:rPr>
        <w:t xml:space="preserve"> or taste in the oil. </w:t>
      </w:r>
      <w:r w:rsidR="007B007A" w:rsidRPr="00993A0F">
        <w:rPr>
          <w:lang w:val="en-GB"/>
        </w:rPr>
        <w:t>Using olives of the Arroniz variety the PEF treatment improved the yield, increase total phenolic content, without negative effects on chemical and sensory characteristics of the olive oil (</w:t>
      </w:r>
      <w:r w:rsidR="007F0475" w:rsidRPr="00993A0F">
        <w:rPr>
          <w:lang w:val="en-GB"/>
        </w:rPr>
        <w:t>Puértolas</w:t>
      </w:r>
      <w:r w:rsidR="007B007A" w:rsidRPr="00993A0F">
        <w:rPr>
          <w:lang w:val="en-GB"/>
        </w:rPr>
        <w:t xml:space="preserve"> et al. 2014)</w:t>
      </w:r>
      <w:r w:rsidR="007F0475" w:rsidRPr="00993A0F">
        <w:rPr>
          <w:lang w:val="en-GB"/>
        </w:rPr>
        <w:t>.</w:t>
      </w:r>
      <w:r w:rsidR="001F522A" w:rsidRPr="00993A0F">
        <w:rPr>
          <w:lang w:val="en-GB"/>
        </w:rPr>
        <w:t xml:space="preserve"> Using the Coratina variety, studies have shown that by applying PEFs, it was found: (i) a significant reduction in the viscosity of the pastes (Romaniello et al</w:t>
      </w:r>
      <w:r w:rsidR="007B007A" w:rsidRPr="00993A0F">
        <w:rPr>
          <w:lang w:val="en-GB"/>
        </w:rPr>
        <w:t>.</w:t>
      </w:r>
      <w:r w:rsidR="001F522A" w:rsidRPr="00993A0F">
        <w:rPr>
          <w:lang w:val="en-GB"/>
        </w:rPr>
        <w:t xml:space="preserve"> 2019), (ii) an increase in extractability</w:t>
      </w:r>
      <w:r w:rsidR="007B007A" w:rsidRPr="00993A0F">
        <w:rPr>
          <w:lang w:val="en-GB"/>
        </w:rPr>
        <w:t xml:space="preserve"> (Tamborrino et al. 2022)</w:t>
      </w:r>
      <w:r w:rsidR="001F522A" w:rsidRPr="00993A0F">
        <w:rPr>
          <w:lang w:val="en-GB"/>
        </w:rPr>
        <w:t xml:space="preserve">, and (iii) </w:t>
      </w:r>
      <w:r w:rsidR="007B007A" w:rsidRPr="00993A0F">
        <w:rPr>
          <w:lang w:val="en-GB"/>
        </w:rPr>
        <w:t>an increase of total phenols (Tamborrino et al. 2022). On the Nocellara del Belice variety, the use of PEFs led to an increase in yield and slight changes in the phenolic composition (Tamborrino et al. 2019).</w:t>
      </w:r>
      <w:r w:rsidR="00993A0F">
        <w:rPr>
          <w:lang w:val="en-GB"/>
        </w:rPr>
        <w:t xml:space="preserve"> </w:t>
      </w:r>
      <w:r w:rsidR="007F0475" w:rsidRPr="00993A0F">
        <w:rPr>
          <w:lang w:val="en-GB"/>
        </w:rPr>
        <w:t>In Veneziani et al.</w:t>
      </w:r>
      <w:r w:rsidR="00835B0D">
        <w:rPr>
          <w:lang w:val="en-GB"/>
        </w:rPr>
        <w:t xml:space="preserve"> (</w:t>
      </w:r>
      <w:r w:rsidR="007F0475" w:rsidRPr="00993A0F">
        <w:rPr>
          <w:lang w:val="en-GB"/>
        </w:rPr>
        <w:t>2019</w:t>
      </w:r>
      <w:r w:rsidR="00835B0D">
        <w:rPr>
          <w:lang w:val="en-GB"/>
        </w:rPr>
        <w:t>)</w:t>
      </w:r>
      <w:r w:rsidR="007F0475" w:rsidRPr="00993A0F">
        <w:rPr>
          <w:lang w:val="en-GB"/>
        </w:rPr>
        <w:t xml:space="preserve"> PEF </w:t>
      </w:r>
      <w:r w:rsidR="00835B0D" w:rsidRPr="00993A0F">
        <w:rPr>
          <w:lang w:val="en-GB"/>
        </w:rPr>
        <w:t>w</w:t>
      </w:r>
      <w:r w:rsidR="00835B0D">
        <w:rPr>
          <w:lang w:val="en-GB"/>
        </w:rPr>
        <w:t>ere</w:t>
      </w:r>
      <w:r w:rsidR="00835B0D" w:rsidRPr="00993A0F">
        <w:rPr>
          <w:lang w:val="en-GB"/>
        </w:rPr>
        <w:t xml:space="preserve"> </w:t>
      </w:r>
      <w:r w:rsidR="007F0475" w:rsidRPr="00993A0F">
        <w:rPr>
          <w:lang w:val="en-GB"/>
        </w:rPr>
        <w:t xml:space="preserve">tested on three Italian olive cultivars of Carolea, Coratina, and Ottobratica, the results </w:t>
      </w:r>
      <w:r w:rsidR="00835B0D" w:rsidRPr="00993A0F">
        <w:rPr>
          <w:lang w:val="en-GB"/>
        </w:rPr>
        <w:t>show</w:t>
      </w:r>
      <w:r w:rsidR="00835B0D">
        <w:rPr>
          <w:lang w:val="en-GB"/>
        </w:rPr>
        <w:t>ing</w:t>
      </w:r>
      <w:r w:rsidR="00835B0D" w:rsidRPr="00993A0F">
        <w:rPr>
          <w:lang w:val="en-GB"/>
        </w:rPr>
        <w:t xml:space="preserve"> </w:t>
      </w:r>
      <w:r w:rsidR="007F0475" w:rsidRPr="00993A0F">
        <w:rPr>
          <w:lang w:val="en-GB"/>
        </w:rPr>
        <w:t>a positive impact on the yield and on the concentration of hydrophilic phenols.</w:t>
      </w:r>
      <w:r w:rsidR="00993A0F">
        <w:rPr>
          <w:lang w:val="en-GB"/>
        </w:rPr>
        <w:t xml:space="preserve"> </w:t>
      </w:r>
      <w:r w:rsidR="007F0475" w:rsidRPr="00993A0F">
        <w:rPr>
          <w:lang w:val="en-GB"/>
        </w:rPr>
        <w:t>Increases in yield and phenolic content were also found for Manzanilla, Hojiblanca, and Picholine varieties (Navarro et al.</w:t>
      </w:r>
      <w:r w:rsidR="004731F1" w:rsidRPr="00993A0F">
        <w:rPr>
          <w:lang w:val="en-GB"/>
        </w:rPr>
        <w:t>,</w:t>
      </w:r>
      <w:r w:rsidR="007F0475" w:rsidRPr="00993A0F">
        <w:rPr>
          <w:lang w:val="en-GB"/>
        </w:rPr>
        <w:t xml:space="preserve"> 2022 and Leone et al.</w:t>
      </w:r>
      <w:r w:rsidR="004731F1" w:rsidRPr="00993A0F">
        <w:rPr>
          <w:lang w:val="en-GB"/>
        </w:rPr>
        <w:t>,</w:t>
      </w:r>
      <w:r w:rsidR="007F0475" w:rsidRPr="00993A0F">
        <w:rPr>
          <w:lang w:val="en-GB"/>
        </w:rPr>
        <w:t xml:space="preserve"> 2022). </w:t>
      </w:r>
      <w:r w:rsidR="007F2AD0" w:rsidRPr="00993A0F">
        <w:rPr>
          <w:lang w:val="en-GB"/>
        </w:rPr>
        <w:t>Finally,</w:t>
      </w:r>
      <w:r w:rsidR="007F0475" w:rsidRPr="00993A0F">
        <w:rPr>
          <w:lang w:val="en-GB"/>
        </w:rPr>
        <w:t xml:space="preserve"> on Empeltre variety an increase in yield minimal changes in chemical composition regarding phytosterols and phenolic compounds was found</w:t>
      </w:r>
      <w:r w:rsidR="00715AEE" w:rsidRPr="00993A0F">
        <w:rPr>
          <w:lang w:val="en-GB"/>
        </w:rPr>
        <w:t xml:space="preserve"> (</w:t>
      </w:r>
      <w:r w:rsidR="00FF66C9" w:rsidRPr="00993A0F">
        <w:rPr>
          <w:lang w:val="en-GB"/>
        </w:rPr>
        <w:t>Martínez-Beamonte</w:t>
      </w:r>
      <w:r w:rsidR="00715AEE" w:rsidRPr="00993A0F">
        <w:rPr>
          <w:lang w:val="en-GB"/>
        </w:rPr>
        <w:t xml:space="preserve"> et al.</w:t>
      </w:r>
      <w:r w:rsidR="00FF66C9" w:rsidRPr="00993A0F">
        <w:rPr>
          <w:lang w:val="en-GB"/>
        </w:rPr>
        <w:t>,</w:t>
      </w:r>
      <w:r w:rsidR="00715AEE" w:rsidRPr="00993A0F">
        <w:rPr>
          <w:lang w:val="en-GB"/>
        </w:rPr>
        <w:t xml:space="preserve"> 2022)</w:t>
      </w:r>
      <w:r w:rsidR="007F0475" w:rsidRPr="00993A0F">
        <w:rPr>
          <w:lang w:val="en-GB"/>
        </w:rPr>
        <w:t xml:space="preserve">. </w:t>
      </w:r>
      <w:r w:rsidR="007F2AD0" w:rsidRPr="00993A0F">
        <w:rPr>
          <w:lang w:val="en-GB"/>
        </w:rPr>
        <w:t>Overall, the response to PEF treatment may vary depending on the variety, however compared to the number of olive varieties present in the world, the varieties investigated to date are few</w:t>
      </w:r>
      <w:r w:rsidR="00835B0D">
        <w:rPr>
          <w:lang w:val="en-GB"/>
        </w:rPr>
        <w:t xml:space="preserve"> and</w:t>
      </w:r>
      <w:r w:rsidR="007F2AD0" w:rsidRPr="00993A0F">
        <w:rPr>
          <w:lang w:val="en-GB"/>
        </w:rPr>
        <w:t xml:space="preserve">, furthermore, only a few studies are carried out in industrial plants, </w:t>
      </w:r>
      <w:r w:rsidR="00835B0D" w:rsidRPr="00993A0F">
        <w:rPr>
          <w:lang w:val="en-GB"/>
        </w:rPr>
        <w:t>m</w:t>
      </w:r>
      <w:r w:rsidR="00835B0D">
        <w:rPr>
          <w:lang w:val="en-GB"/>
        </w:rPr>
        <w:t>ost</w:t>
      </w:r>
      <w:r w:rsidR="00835B0D" w:rsidRPr="00993A0F">
        <w:rPr>
          <w:lang w:val="en-GB"/>
        </w:rPr>
        <w:t xml:space="preserve"> </w:t>
      </w:r>
      <w:r w:rsidR="007F2AD0" w:rsidRPr="00993A0F">
        <w:rPr>
          <w:lang w:val="en-GB"/>
        </w:rPr>
        <w:t>in fact have been carried out on a laboratory scale. Therefore, further research is needed to better understand the application of this new technology in olive oil industry.</w:t>
      </w:r>
      <w:r w:rsidR="00993A0F">
        <w:rPr>
          <w:lang w:val="en-GB"/>
        </w:rPr>
        <w:t xml:space="preserve"> </w:t>
      </w:r>
      <w:r w:rsidR="00971187" w:rsidRPr="00993A0F">
        <w:rPr>
          <w:lang w:val="en-GB"/>
        </w:rPr>
        <w:t>The aim of th</w:t>
      </w:r>
      <w:r w:rsidR="00835B0D">
        <w:rPr>
          <w:lang w:val="en-GB"/>
        </w:rPr>
        <w:t>is</w:t>
      </w:r>
      <w:r w:rsidR="00971187" w:rsidRPr="00993A0F">
        <w:rPr>
          <w:lang w:val="en-GB"/>
        </w:rPr>
        <w:t xml:space="preserve"> </w:t>
      </w:r>
      <w:r w:rsidR="00835B0D">
        <w:rPr>
          <w:lang w:val="en-GB"/>
        </w:rPr>
        <w:t>work</w:t>
      </w:r>
      <w:r w:rsidR="00835B0D" w:rsidRPr="00993A0F">
        <w:rPr>
          <w:lang w:val="en-GB"/>
        </w:rPr>
        <w:t xml:space="preserve"> </w:t>
      </w:r>
      <w:r w:rsidR="00971187" w:rsidRPr="00993A0F">
        <w:rPr>
          <w:lang w:val="en-GB"/>
        </w:rPr>
        <w:t xml:space="preserve">is to study the application of a simplified PEF system during the extraction of oil from the Frantoio and Leccino varieties. The effects that this innovative technology could have on oil lost in the pomace and on extractability of the extraction </w:t>
      </w:r>
      <w:r w:rsidR="00835B0D" w:rsidRPr="00993A0F">
        <w:rPr>
          <w:lang w:val="en-GB"/>
        </w:rPr>
        <w:t>w</w:t>
      </w:r>
      <w:r w:rsidR="00835B0D">
        <w:rPr>
          <w:lang w:val="en-GB"/>
        </w:rPr>
        <w:t>ere</w:t>
      </w:r>
      <w:r w:rsidR="00835B0D" w:rsidRPr="00993A0F">
        <w:rPr>
          <w:lang w:val="en-GB"/>
        </w:rPr>
        <w:t xml:space="preserve"> analysed</w:t>
      </w:r>
      <w:r w:rsidR="00971187" w:rsidRPr="00993A0F">
        <w:rPr>
          <w:lang w:val="en-GB"/>
        </w:rPr>
        <w:t>.</w:t>
      </w:r>
    </w:p>
    <w:p w14:paraId="33122B43" w14:textId="2613640B" w:rsidR="00453E24" w:rsidRPr="0062227E" w:rsidRDefault="0062227E" w:rsidP="0062227E">
      <w:pPr>
        <w:pStyle w:val="CETHeading1"/>
        <w:tabs>
          <w:tab w:val="left" w:pos="284"/>
        </w:tabs>
        <w:rPr>
          <w:lang w:val="en-GB"/>
        </w:rPr>
      </w:pPr>
      <w:r>
        <w:rPr>
          <w:lang w:val="en-GB"/>
        </w:rPr>
        <w:t>2.</w:t>
      </w:r>
      <w:r>
        <w:rPr>
          <w:lang w:val="en-GB"/>
        </w:rPr>
        <w:tab/>
      </w:r>
      <w:r w:rsidR="00A55D29" w:rsidRPr="0062227E">
        <w:rPr>
          <w:lang w:val="en-GB"/>
        </w:rPr>
        <w:t>Materials and methods</w:t>
      </w:r>
    </w:p>
    <w:p w14:paraId="5B126D26" w14:textId="79A96960" w:rsidR="00284ADC" w:rsidRPr="00797592" w:rsidRDefault="0062227E" w:rsidP="0062227E">
      <w:pPr>
        <w:pStyle w:val="CETheadingx"/>
      </w:pPr>
      <w:r>
        <w:t>2.1.</w:t>
      </w:r>
      <w:r>
        <w:tab/>
      </w:r>
      <w:r w:rsidR="008061A8" w:rsidRPr="00797592">
        <w:t>Raw and p</w:t>
      </w:r>
      <w:r w:rsidR="00284ADC" w:rsidRPr="00797592">
        <w:t xml:space="preserve">lant material </w:t>
      </w:r>
    </w:p>
    <w:p w14:paraId="6CF23367" w14:textId="6171C538" w:rsidR="008061A8" w:rsidRPr="00797592" w:rsidRDefault="00EB3BF0" w:rsidP="008061A8">
      <w:pPr>
        <w:pStyle w:val="CETBodytext"/>
        <w:rPr>
          <w:bCs/>
        </w:rPr>
      </w:pPr>
      <w:r w:rsidRPr="00797592">
        <w:rPr>
          <w:bCs/>
        </w:rPr>
        <w:t>Experimental test</w:t>
      </w:r>
      <w:r w:rsidR="00835B0D">
        <w:rPr>
          <w:bCs/>
        </w:rPr>
        <w:t>s were</w:t>
      </w:r>
      <w:r w:rsidRPr="00797592">
        <w:rPr>
          <w:bCs/>
        </w:rPr>
        <w:t xml:space="preserve"> performed on o</w:t>
      </w:r>
      <w:r w:rsidR="008061A8" w:rsidRPr="00797592">
        <w:rPr>
          <w:bCs/>
        </w:rPr>
        <w:t>live fruits (</w:t>
      </w:r>
      <w:r w:rsidR="008061A8" w:rsidRPr="00803413">
        <w:rPr>
          <w:bCs/>
          <w:i/>
          <w:iCs/>
        </w:rPr>
        <w:t>Olea europaea</w:t>
      </w:r>
      <w:r w:rsidR="008061A8" w:rsidRPr="00797592">
        <w:rPr>
          <w:bCs/>
        </w:rPr>
        <w:t xml:space="preserve"> L.) from </w:t>
      </w:r>
      <w:r w:rsidR="00AE0637" w:rsidRPr="00797592">
        <w:rPr>
          <w:bCs/>
        </w:rPr>
        <w:t xml:space="preserve">Frantoio e </w:t>
      </w:r>
      <w:r w:rsidR="00E50E91" w:rsidRPr="00797592">
        <w:rPr>
          <w:bCs/>
        </w:rPr>
        <w:t>Leccin</w:t>
      </w:r>
      <w:r w:rsidR="00E50E91">
        <w:rPr>
          <w:bCs/>
        </w:rPr>
        <w:t>o</w:t>
      </w:r>
      <w:r w:rsidR="00E50E91" w:rsidRPr="00797592">
        <w:rPr>
          <w:bCs/>
        </w:rPr>
        <w:t xml:space="preserve"> </w:t>
      </w:r>
      <w:r w:rsidR="00E50E91">
        <w:rPr>
          <w:bCs/>
        </w:rPr>
        <w:t>variety</w:t>
      </w:r>
      <w:r w:rsidR="00E50E91" w:rsidRPr="00797592">
        <w:rPr>
          <w:bCs/>
        </w:rPr>
        <w:t xml:space="preserve"> </w:t>
      </w:r>
      <w:r w:rsidR="008061A8" w:rsidRPr="00797592">
        <w:rPr>
          <w:bCs/>
        </w:rPr>
        <w:t xml:space="preserve">from a controlled irrigated olive grove </w:t>
      </w:r>
      <w:r w:rsidR="00797592" w:rsidRPr="00797592">
        <w:rPr>
          <w:bCs/>
        </w:rPr>
        <w:t>in province of Bari,</w:t>
      </w:r>
      <w:r w:rsidR="008061A8" w:rsidRPr="00797592">
        <w:rPr>
          <w:bCs/>
        </w:rPr>
        <w:t xml:space="preserve"> Puglia, Italy</w:t>
      </w:r>
      <w:r w:rsidR="00835B0D">
        <w:rPr>
          <w:bCs/>
        </w:rPr>
        <w:t xml:space="preserve">, </w:t>
      </w:r>
      <w:r w:rsidR="008061A8" w:rsidRPr="00797592">
        <w:rPr>
          <w:bCs/>
        </w:rPr>
        <w:t>harvested mechanically by trunk shaker</w:t>
      </w:r>
      <w:r w:rsidR="00E50E91">
        <w:rPr>
          <w:bCs/>
        </w:rPr>
        <w:t xml:space="preserve">. The </w:t>
      </w:r>
      <w:r w:rsidR="008061A8" w:rsidRPr="00797592">
        <w:rPr>
          <w:bCs/>
        </w:rPr>
        <w:t xml:space="preserve">maturity index </w:t>
      </w:r>
      <w:r w:rsidR="00E50E91">
        <w:rPr>
          <w:bCs/>
        </w:rPr>
        <w:t>was</w:t>
      </w:r>
      <w:r w:rsidR="00E50E91" w:rsidRPr="00797592">
        <w:rPr>
          <w:bCs/>
        </w:rPr>
        <w:t xml:space="preserve"> </w:t>
      </w:r>
      <w:r w:rsidR="008061A8" w:rsidRPr="00797592">
        <w:rPr>
          <w:bCs/>
        </w:rPr>
        <w:t>1.</w:t>
      </w:r>
      <w:r w:rsidR="00E50E91">
        <w:rPr>
          <w:bCs/>
        </w:rPr>
        <w:t xml:space="preserve">7 for </w:t>
      </w:r>
      <w:r w:rsidR="007D608B">
        <w:rPr>
          <w:bCs/>
        </w:rPr>
        <w:t>Frantoio</w:t>
      </w:r>
      <w:r w:rsidR="00E50E91">
        <w:rPr>
          <w:bCs/>
        </w:rPr>
        <w:t xml:space="preserve"> variety</w:t>
      </w:r>
      <w:r w:rsidR="007D608B">
        <w:rPr>
          <w:bCs/>
        </w:rPr>
        <w:t xml:space="preserve"> and 3.1 for Leccino variety</w:t>
      </w:r>
      <w:r w:rsidR="008061A8" w:rsidRPr="00797592">
        <w:rPr>
          <w:bCs/>
        </w:rPr>
        <w:t>. The maturity index was measured as in Uceda and Frias (1975</w:t>
      </w:r>
      <w:r w:rsidRPr="00797592">
        <w:rPr>
          <w:bCs/>
        </w:rPr>
        <w:t>)</w:t>
      </w:r>
      <w:r w:rsidR="008061A8" w:rsidRPr="00797592">
        <w:rPr>
          <w:bCs/>
        </w:rPr>
        <w:t xml:space="preserve">. </w:t>
      </w:r>
      <w:r w:rsidR="000B147E" w:rsidRPr="000B147E">
        <w:rPr>
          <w:bCs/>
        </w:rPr>
        <w:t xml:space="preserve">After the harvesting phase, the olive fruits were transported to the mill, weighed and the extraction process </w:t>
      </w:r>
      <w:r w:rsidR="00835B0D">
        <w:rPr>
          <w:bCs/>
        </w:rPr>
        <w:t xml:space="preserve">started </w:t>
      </w:r>
      <w:r w:rsidR="000B147E" w:rsidRPr="000B147E">
        <w:rPr>
          <w:bCs/>
        </w:rPr>
        <w:t>after two hours.</w:t>
      </w:r>
    </w:p>
    <w:p w14:paraId="1D4472A4" w14:textId="0E2877F7" w:rsidR="005D25A6" w:rsidRPr="00797592" w:rsidRDefault="0062227E" w:rsidP="0062227E">
      <w:pPr>
        <w:pStyle w:val="CETheadingx"/>
      </w:pPr>
      <w:r>
        <w:t>2.2.</w:t>
      </w:r>
      <w:r>
        <w:tab/>
      </w:r>
      <w:r w:rsidR="00284ADC" w:rsidRPr="00797592">
        <w:t>Industrial olive oil extraction plant</w:t>
      </w:r>
    </w:p>
    <w:p w14:paraId="65EEC1FC" w14:textId="0DD937BF" w:rsidR="005D25A6" w:rsidRDefault="00D94B68" w:rsidP="00D94B68">
      <w:pPr>
        <w:pStyle w:val="CETBodytext"/>
      </w:pPr>
      <w:r w:rsidRPr="00797592">
        <w:t xml:space="preserve">The extraction plant, </w:t>
      </w:r>
      <w:r w:rsidR="000B147E">
        <w:t>(</w:t>
      </w:r>
      <w:r w:rsidR="00797592" w:rsidRPr="00797592">
        <w:t>Mori Tem Cultivar 750</w:t>
      </w:r>
      <w:r w:rsidR="000B147E">
        <w:t>)</w:t>
      </w:r>
      <w:r w:rsidRPr="00797592">
        <w:t>, was constituted of a leaf-remover/washing-machine group (DLE SUPER R), a knife crusher (FR 350 11 BFP 2), two vertical malaxer vessels with internal kneading blades connected to the top lid, (2GV 300), and a two-phase solid/liquid horizontal centrifugal decanter (TL 750). The plant has a processing capacity of 750 kg h</w:t>
      </w:r>
      <w:r w:rsidR="00797592" w:rsidRPr="00803413">
        <w:rPr>
          <w:rFonts w:eastAsia="Arial" w:cs="Arial"/>
          <w:vertAlign w:val="superscript"/>
        </w:rPr>
        <w:t>-</w:t>
      </w:r>
      <w:r w:rsidRPr="00803413">
        <w:rPr>
          <w:vertAlign w:val="superscript"/>
        </w:rPr>
        <w:t>1</w:t>
      </w:r>
      <w:r w:rsidRPr="00797592">
        <w:t xml:space="preserve">. The PEF pulsed power </w:t>
      </w:r>
      <w:r w:rsidR="000B147E">
        <w:t>system</w:t>
      </w:r>
      <w:r w:rsidRPr="00797592">
        <w:t>, described in the below paragraph, was installed</w:t>
      </w:r>
      <w:r w:rsidR="00546091" w:rsidRPr="00797592">
        <w:t xml:space="preserve"> on piping</w:t>
      </w:r>
      <w:r w:rsidRPr="00797592">
        <w:t xml:space="preserve"> between the crusher and the malaxers.</w:t>
      </w:r>
    </w:p>
    <w:p w14:paraId="1394DA88" w14:textId="77777777" w:rsidR="00521C57" w:rsidRDefault="00521C57" w:rsidP="00D94B68">
      <w:pPr>
        <w:pStyle w:val="CETBodytext"/>
      </w:pPr>
    </w:p>
    <w:p w14:paraId="50906228" w14:textId="11805462" w:rsidR="00521C57" w:rsidRDefault="002E1D9E" w:rsidP="00D94B68">
      <w:pPr>
        <w:pStyle w:val="CETBodytext"/>
      </w:pPr>
      <w:r>
        <w:rPr>
          <w:noProof/>
          <w:lang w:val="it-IT" w:eastAsia="it-IT"/>
        </w:rPr>
        <w:drawing>
          <wp:inline distT="0" distB="0" distL="0" distR="0" wp14:anchorId="654CA701" wp14:editId="701FDD79">
            <wp:extent cx="5572125" cy="13239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1323975"/>
                    </a:xfrm>
                    <a:prstGeom prst="rect">
                      <a:avLst/>
                    </a:prstGeom>
                    <a:noFill/>
                    <a:ln>
                      <a:noFill/>
                    </a:ln>
                  </pic:spPr>
                </pic:pic>
              </a:graphicData>
            </a:graphic>
          </wp:inline>
        </w:drawing>
      </w:r>
    </w:p>
    <w:p w14:paraId="4E126EB3" w14:textId="6C8D6E1A" w:rsidR="00521C57" w:rsidRPr="001C2AB1" w:rsidRDefault="00521C57" w:rsidP="001C2AB1">
      <w:pPr>
        <w:pStyle w:val="CETCaption"/>
        <w:rPr>
          <w:rStyle w:val="CETCaptionCarattere"/>
          <w:i/>
        </w:rPr>
      </w:pPr>
      <w:r w:rsidRPr="001C2AB1">
        <w:rPr>
          <w:rStyle w:val="CETCaptionCarattere"/>
          <w:i/>
        </w:rPr>
        <w:t xml:space="preserve">Figure 1: Layout of the plant integrated with the PEF equipment: 1 Loading hopper; 2 Defoliator; 3 Washing machine; 4 Crusher machines; 5 PEF pilot plant; 6 Malaxer </w:t>
      </w:r>
      <w:r w:rsidR="000B147E" w:rsidRPr="001C2AB1">
        <w:rPr>
          <w:rStyle w:val="CETCaptionCarattere"/>
          <w:i/>
        </w:rPr>
        <w:t>group</w:t>
      </w:r>
      <w:r w:rsidRPr="001C2AB1">
        <w:rPr>
          <w:rStyle w:val="CETCaptionCarattere"/>
          <w:i/>
        </w:rPr>
        <w:t xml:space="preserve">; 7 </w:t>
      </w:r>
      <w:r w:rsidR="000B147E" w:rsidRPr="001C2AB1">
        <w:rPr>
          <w:rStyle w:val="CETCaptionCarattere"/>
          <w:i/>
        </w:rPr>
        <w:t>Rotor</w:t>
      </w:r>
      <w:r w:rsidRPr="001C2AB1">
        <w:rPr>
          <w:rStyle w:val="CETCaptionCarattere"/>
          <w:i/>
        </w:rPr>
        <w:t xml:space="preserve"> stator</w:t>
      </w:r>
      <w:r w:rsidR="000B147E" w:rsidRPr="001C2AB1">
        <w:rPr>
          <w:rStyle w:val="CETCaptionCarattere"/>
          <w:i/>
        </w:rPr>
        <w:t xml:space="preserve"> pumps</w:t>
      </w:r>
      <w:r w:rsidRPr="001C2AB1">
        <w:rPr>
          <w:rStyle w:val="CETCaptionCarattere"/>
          <w:i/>
        </w:rPr>
        <w:t xml:space="preserve">; 8 </w:t>
      </w:r>
      <w:r w:rsidR="000B147E" w:rsidRPr="001C2AB1">
        <w:rPr>
          <w:rStyle w:val="CETCaptionCarattere"/>
          <w:i/>
        </w:rPr>
        <w:t>D</w:t>
      </w:r>
      <w:r w:rsidR="004C6636">
        <w:rPr>
          <w:rStyle w:val="CETCaptionCarattere"/>
          <w:i/>
        </w:rPr>
        <w:t>ecanter</w:t>
      </w:r>
    </w:p>
    <w:p w14:paraId="67FEAE2C" w14:textId="5A65875A" w:rsidR="002E4CB0" w:rsidRDefault="0062227E" w:rsidP="0062227E">
      <w:pPr>
        <w:pStyle w:val="CETheadingx"/>
      </w:pPr>
      <w:r>
        <w:t>2.3.</w:t>
      </w:r>
      <w:r>
        <w:tab/>
      </w:r>
      <w:r w:rsidR="002E4CB0" w:rsidRPr="002E4CB0">
        <w:t xml:space="preserve">PEF pilot plant </w:t>
      </w:r>
    </w:p>
    <w:p w14:paraId="306CCC8A" w14:textId="4E78CFCC" w:rsidR="00C526B3" w:rsidRDefault="006C07EB" w:rsidP="006A6B5D">
      <w:pPr>
        <w:pStyle w:val="CETBodytext"/>
      </w:pPr>
      <w:r w:rsidRPr="006C07EB">
        <w:t xml:space="preserve">The pilot plant was designed to provide maximum output while ensuring safety and ease of operation. The solid-state Marx circuit typology </w:t>
      </w:r>
      <w:r w:rsidR="00F54005">
        <w:t>(Figure 2</w:t>
      </w:r>
      <w:r w:rsidR="004C6636">
        <w:t>a</w:t>
      </w:r>
      <w:r w:rsidR="00F54005">
        <w:t xml:space="preserve">) </w:t>
      </w:r>
      <w:r w:rsidRPr="006C07EB">
        <w:t>is a proven technology that has been used in many industrial applications.</w:t>
      </w:r>
      <w:r w:rsidR="00312E65">
        <w:t xml:space="preserve"> </w:t>
      </w:r>
      <w:r w:rsidR="00312E65" w:rsidRPr="00312E65">
        <w:t>Another aspect considered was the design of the treatment chamber</w:t>
      </w:r>
      <w:r w:rsidR="00312E65">
        <w:t xml:space="preserve"> </w:t>
      </w:r>
      <w:r w:rsidR="00835B0D">
        <w:t xml:space="preserve">as, </w:t>
      </w:r>
      <w:r w:rsidR="00312E65">
        <w:t>in fact, t</w:t>
      </w:r>
      <w:r w:rsidR="00312E65" w:rsidRPr="00312E65">
        <w:t>he application of high voltage in the treatment chamber is a critical component of the PEF processing system.</w:t>
      </w:r>
      <w:r w:rsidR="00312E65">
        <w:t xml:space="preserve"> </w:t>
      </w:r>
      <w:r w:rsidR="00E14620">
        <w:t>Generator</w:t>
      </w:r>
      <w:r w:rsidR="007F4D95">
        <w:t xml:space="preserve"> can</w:t>
      </w:r>
      <w:r w:rsidR="00E14620">
        <w:t xml:space="preserve"> </w:t>
      </w:r>
      <w:r w:rsidR="00E14620" w:rsidRPr="00E14620">
        <w:t xml:space="preserve">generate unipolar pulses with voltages up to 10 kV, </w:t>
      </w:r>
      <w:r w:rsidR="0040409A">
        <w:t>p</w:t>
      </w:r>
      <w:r w:rsidR="00103EC5" w:rsidRPr="00103EC5">
        <w:t>eak current range up to 150 A</w:t>
      </w:r>
      <w:r w:rsidR="00E14620" w:rsidRPr="00E14620">
        <w:t xml:space="preserve">, </w:t>
      </w:r>
      <w:r w:rsidR="00103EC5" w:rsidRPr="00103EC5">
        <w:t>3.5 kW maximum output power</w:t>
      </w:r>
      <w:r w:rsidR="00A779AB">
        <w:t>, v</w:t>
      </w:r>
      <w:r w:rsidR="00A779AB" w:rsidRPr="00A779AB">
        <w:t xml:space="preserve">oltage pulse rise time </w:t>
      </w:r>
      <w:r w:rsidR="00835B0D">
        <w:t xml:space="preserve">of </w:t>
      </w:r>
      <w:r w:rsidR="00A779AB" w:rsidRPr="00A779AB">
        <w:t>250 ns</w:t>
      </w:r>
      <w:r w:rsidR="00E14620">
        <w:t>,</w:t>
      </w:r>
      <w:r w:rsidR="00A779AB" w:rsidRPr="00A779AB">
        <w:rPr>
          <w:sz w:val="16"/>
          <w:szCs w:val="16"/>
        </w:rPr>
        <w:t xml:space="preserve"> </w:t>
      </w:r>
      <w:r w:rsidR="00A779AB" w:rsidRPr="00CF4346">
        <w:rPr>
          <w:szCs w:val="18"/>
        </w:rPr>
        <w:t>and frequency from 1 to 200 Hz</w:t>
      </w:r>
      <w:r w:rsidR="00835B0D">
        <w:rPr>
          <w:szCs w:val="18"/>
        </w:rPr>
        <w:t>,</w:t>
      </w:r>
      <w:r w:rsidR="00E14620" w:rsidRPr="00CF4346">
        <w:rPr>
          <w:szCs w:val="18"/>
        </w:rPr>
        <w:t xml:space="preserve"> these</w:t>
      </w:r>
      <w:r w:rsidR="00E14620" w:rsidRPr="00E14620">
        <w:t xml:space="preserve"> parameters can only be applied to resistive </w:t>
      </w:r>
      <w:r w:rsidR="007F4D95" w:rsidRPr="00E14620">
        <w:t>loads</w:t>
      </w:r>
      <w:r w:rsidR="006A6B5D">
        <w:t xml:space="preserve">. </w:t>
      </w:r>
      <w:r w:rsidR="006A6B5D">
        <w:lastRenderedPageBreak/>
        <w:t>Generator</w:t>
      </w:r>
      <w:r w:rsidR="006A6B5D" w:rsidRPr="006A6B5D">
        <w:t xml:space="preserve"> can be controlled by a PC and </w:t>
      </w:r>
      <w:r w:rsidR="006A6B5D">
        <w:t>the shape of pulse</w:t>
      </w:r>
      <w:r w:rsidR="006A6B5D" w:rsidRPr="006A6B5D">
        <w:t xml:space="preserve"> can be visualized from an</w:t>
      </w:r>
      <w:r w:rsidR="00C526B3">
        <w:t xml:space="preserve"> embedded</w:t>
      </w:r>
      <w:r w:rsidR="006A6B5D" w:rsidRPr="006A6B5D">
        <w:t xml:space="preserve"> </w:t>
      </w:r>
      <w:r w:rsidR="006A6B5D">
        <w:t>oscilloscope</w:t>
      </w:r>
      <w:r w:rsidR="00C526B3">
        <w:t xml:space="preserve"> (Picoscope)</w:t>
      </w:r>
      <w:r w:rsidR="006A6B5D">
        <w:t xml:space="preserve">. </w:t>
      </w:r>
    </w:p>
    <w:p w14:paraId="78E63C96" w14:textId="16D8A999" w:rsidR="00743620" w:rsidRDefault="00D60D03" w:rsidP="006A6B5D">
      <w:pPr>
        <w:pStyle w:val="CETBodytext"/>
      </w:pPr>
      <w:r w:rsidRPr="00D60D03">
        <w:t>Solid-state Marx topology</w:t>
      </w:r>
      <w:r w:rsidR="005168D1">
        <w:t xml:space="preserve"> </w:t>
      </w:r>
      <w:r w:rsidR="005168D1" w:rsidRPr="00D60D03">
        <w:t xml:space="preserve">as shown </w:t>
      </w:r>
      <w:r w:rsidR="005168D1" w:rsidRPr="00F54005">
        <w:t xml:space="preserve">in </w:t>
      </w:r>
      <w:r w:rsidR="005168D1" w:rsidRPr="00803413">
        <w:t>Figure 2</w:t>
      </w:r>
      <w:r w:rsidR="0062227E">
        <w:t>a</w:t>
      </w:r>
      <w:r w:rsidRPr="00F54005">
        <w:t xml:space="preserve"> is</w:t>
      </w:r>
      <w:r w:rsidRPr="00D60D03">
        <w:t xml:space="preserve"> a design that allows for the efficient storage and discharge of energy using relatively low voltage components. This Marx generator has been designed to be simple and cost-effective. It is composed of 12 high-voltage cells, each equipped with two insulated-gate bipolar transistor (IGBT) switches. Each cell comprises an energy storing capacitor, a pulse IGBT and a charging IGBT and </w:t>
      </w:r>
      <w:r w:rsidRPr="005168D1">
        <w:t>diode.</w:t>
      </w:r>
      <w:r w:rsidRPr="00D60D03">
        <w:t xml:space="preserve"> Capacitors</w:t>
      </w:r>
      <w:r>
        <w:t xml:space="preserve"> </w:t>
      </w:r>
      <w:r w:rsidRPr="00D60D03">
        <w:t xml:space="preserve">Ci are charged by power supply </w:t>
      </w:r>
      <w:r w:rsidR="005168D1" w:rsidRPr="005168D1">
        <w:t>Udc</w:t>
      </w:r>
      <w:r w:rsidR="005168D1">
        <w:t xml:space="preserve"> </w:t>
      </w:r>
      <w:r w:rsidRPr="00D60D03">
        <w:t>in parallel by diodes</w:t>
      </w:r>
      <w:r w:rsidR="005168D1">
        <w:t xml:space="preserve"> </w:t>
      </w:r>
      <w:r w:rsidR="005168D1" w:rsidRPr="005168D1">
        <w:t>Dci</w:t>
      </w:r>
      <w:r w:rsidRPr="00D60D03">
        <w:t xml:space="preserve"> and</w:t>
      </w:r>
      <w:r w:rsidR="005168D1">
        <w:t xml:space="preserve"> </w:t>
      </w:r>
      <w:r w:rsidR="005168D1" w:rsidRPr="005168D1">
        <w:t>Tci</w:t>
      </w:r>
      <w:r w:rsidRPr="00D60D03">
        <w:t xml:space="preserve"> IGBTs, during </w:t>
      </w:r>
      <w:r w:rsidR="001C2AB1" w:rsidRPr="00D60D03">
        <w:t>these period load capacitances</w:t>
      </w:r>
      <w:r w:rsidRPr="00D60D03">
        <w:t xml:space="preserve"> are discharged to zero. Pulse is applied to load by connecting in series the capacitors</w:t>
      </w:r>
      <w:r w:rsidR="005168D1">
        <w:t xml:space="preserve"> Ci</w:t>
      </w:r>
      <w:r w:rsidRPr="00D60D03">
        <w:t xml:space="preserve"> with the Tdi IGBTs. The logic control unit generates the triggering signals for all the IGBT switches, which are transmitted to each cell via optical fiber. The energy to trigger each IGBT is delivered via ring transformers, which are powered by an oscillating voltage. Galvanic insulation is ensured by toroid ferrites. Additionally, each IGBT driver has overcurrent and over-temperature protection therefore, the system's thermal conditions are well-controlled through forced-air ventilation. Front panel</w:t>
      </w:r>
      <w:r w:rsidR="006D22AE" w:rsidRPr="006D22AE">
        <w:t xml:space="preserve"> consists of </w:t>
      </w:r>
      <w:r w:rsidRPr="00D60D03">
        <w:t xml:space="preserve">an intuitive HMI touchscreen that provide not only error and system status messages but also real-time output voltage, current absorption, output power and </w:t>
      </w:r>
      <w:r w:rsidR="006D22AE" w:rsidRPr="006D22AE">
        <w:t>pulse width.</w:t>
      </w:r>
    </w:p>
    <w:p w14:paraId="3212141F" w14:textId="5A260BF2" w:rsidR="001C2AB1" w:rsidRDefault="001C2AB1" w:rsidP="006A6B5D">
      <w:pPr>
        <w:pStyle w:val="CETBodytext"/>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3497"/>
      </w:tblGrid>
      <w:tr w:rsidR="001C2AB1" w14:paraId="766809B4" w14:textId="77777777" w:rsidTr="0062227E">
        <w:tc>
          <w:tcPr>
            <w:tcW w:w="4388" w:type="dxa"/>
          </w:tcPr>
          <w:p w14:paraId="390DD47A" w14:textId="46718C80" w:rsidR="001C2AB1" w:rsidRDefault="001C2AB1" w:rsidP="006A6B5D">
            <w:pPr>
              <w:pStyle w:val="CETBodytext"/>
              <w:rPr>
                <w:noProof/>
                <w:lang w:val="it-IT" w:eastAsia="it-IT"/>
              </w:rPr>
            </w:pPr>
            <w:r>
              <w:rPr>
                <w:noProof/>
                <w:lang w:val="it-IT" w:eastAsia="it-IT"/>
              </w:rPr>
              <w:drawing>
                <wp:inline distT="0" distB="0" distL="0" distR="0" wp14:anchorId="0D27DE0C" wp14:editId="2616415F">
                  <wp:extent cx="3226759" cy="1590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1"/>
                          <a:srcRect l="5129" t="7242" r="3382" b="5389"/>
                          <a:stretch/>
                        </pic:blipFill>
                        <pic:spPr bwMode="auto">
                          <a:xfrm>
                            <a:off x="0" y="0"/>
                            <a:ext cx="3263698" cy="1608884"/>
                          </a:xfrm>
                          <a:prstGeom prst="rect">
                            <a:avLst/>
                          </a:prstGeom>
                          <a:ln>
                            <a:noFill/>
                          </a:ln>
                          <a:extLst>
                            <a:ext uri="{53640926-AAD7-44D8-BBD7-CCE9431645EC}">
                              <a14:shadowObscured xmlns:a14="http://schemas.microsoft.com/office/drawing/2010/main"/>
                            </a:ext>
                          </a:extLst>
                        </pic:spPr>
                      </pic:pic>
                    </a:graphicData>
                  </a:graphic>
                </wp:inline>
              </w:drawing>
            </w:r>
          </w:p>
          <w:p w14:paraId="3408DA6B" w14:textId="7E89515D" w:rsidR="001C2AB1" w:rsidRDefault="001C2AB1" w:rsidP="001C2AB1">
            <w:pPr>
              <w:pStyle w:val="CETBodytext"/>
              <w:jc w:val="center"/>
              <w:rPr>
                <w:noProof/>
                <w:lang w:val="it-IT" w:eastAsia="it-IT"/>
              </w:rPr>
            </w:pPr>
            <w:r>
              <w:rPr>
                <w:noProof/>
                <w:lang w:val="it-IT" w:eastAsia="it-IT"/>
              </w:rPr>
              <w:t>a</w:t>
            </w:r>
          </w:p>
          <w:p w14:paraId="37F9C53A" w14:textId="6FDC47F9" w:rsidR="001C2AB1" w:rsidRDefault="001C2AB1" w:rsidP="006A6B5D">
            <w:pPr>
              <w:pStyle w:val="CETBodytext"/>
            </w:pPr>
          </w:p>
        </w:tc>
        <w:tc>
          <w:tcPr>
            <w:tcW w:w="4389" w:type="dxa"/>
          </w:tcPr>
          <w:p w14:paraId="1C5E0FBB" w14:textId="77777777" w:rsidR="001C2AB1" w:rsidRDefault="001C2AB1" w:rsidP="006A6B5D">
            <w:pPr>
              <w:pStyle w:val="CETBodytext"/>
            </w:pPr>
            <w:r>
              <w:rPr>
                <w:noProof/>
                <w:szCs w:val="18"/>
                <w:lang w:val="it-IT" w:eastAsia="it-IT"/>
              </w:rPr>
              <w:drawing>
                <wp:inline distT="0" distB="0" distL="0" distR="0" wp14:anchorId="3E98F63A" wp14:editId="0D2AEAA3">
                  <wp:extent cx="2085975" cy="1558378"/>
                  <wp:effectExtent l="0" t="0" r="0" b="3810"/>
                  <wp:docPr id="3" name="Immagine 3" descr="Immagine che contiene in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interno&#10;&#10;Descrizione generata automaticamente"/>
                          <pic:cNvPicPr/>
                        </pic:nvPicPr>
                        <pic:blipFill rotWithShape="1">
                          <a:blip r:embed="rId12"/>
                          <a:srcRect r="2811" b="3187"/>
                          <a:stretch/>
                        </pic:blipFill>
                        <pic:spPr bwMode="auto">
                          <a:xfrm>
                            <a:off x="0" y="0"/>
                            <a:ext cx="2114622" cy="1579779"/>
                          </a:xfrm>
                          <a:prstGeom prst="rect">
                            <a:avLst/>
                          </a:prstGeom>
                          <a:ln>
                            <a:noFill/>
                          </a:ln>
                          <a:extLst>
                            <a:ext uri="{53640926-AAD7-44D8-BBD7-CCE9431645EC}">
                              <a14:shadowObscured xmlns:a14="http://schemas.microsoft.com/office/drawing/2010/main"/>
                            </a:ext>
                          </a:extLst>
                        </pic:spPr>
                      </pic:pic>
                    </a:graphicData>
                  </a:graphic>
                </wp:inline>
              </w:drawing>
            </w:r>
          </w:p>
          <w:p w14:paraId="04100A4E" w14:textId="5F8E497B" w:rsidR="001C2AB1" w:rsidRDefault="001C2AB1" w:rsidP="001C2AB1">
            <w:pPr>
              <w:pStyle w:val="CETBodytext"/>
              <w:jc w:val="center"/>
            </w:pPr>
            <w:r>
              <w:t>b</w:t>
            </w:r>
          </w:p>
        </w:tc>
      </w:tr>
    </w:tbl>
    <w:p w14:paraId="4CD4CDDD" w14:textId="1C1EC968" w:rsidR="001C2AB1" w:rsidRPr="004C6636" w:rsidRDefault="001C2AB1" w:rsidP="0062227E">
      <w:pPr>
        <w:pStyle w:val="CETCaption"/>
        <w:rPr>
          <w:rStyle w:val="CETCaptionCarattere"/>
          <w:i/>
          <w:lang w:val="en"/>
        </w:rPr>
      </w:pPr>
      <w:r w:rsidRPr="004C6636">
        <w:rPr>
          <w:rStyle w:val="CETCaptionCarattere"/>
          <w:i/>
          <w:lang w:val="en"/>
        </w:rPr>
        <w:t>Figure 2: a) Modular solid-state Marx topology; b) Continuous treatment chambers</w:t>
      </w:r>
    </w:p>
    <w:p w14:paraId="58345ED2" w14:textId="3DB86E8B" w:rsidR="006B1C9B" w:rsidRDefault="006B1C9B" w:rsidP="006B1C9B">
      <w:pPr>
        <w:pStyle w:val="CETBodytext"/>
        <w:rPr>
          <w:szCs w:val="18"/>
        </w:rPr>
      </w:pPr>
      <w:r w:rsidRPr="00A932D1">
        <w:rPr>
          <w:szCs w:val="18"/>
        </w:rPr>
        <w:t>The PEF generator is designed to function continuously within a treatment chamber that can process up to a maximum of 3 tons per hour. The treatment chamber</w:t>
      </w:r>
      <w:r w:rsidR="00953C30">
        <w:rPr>
          <w:szCs w:val="18"/>
        </w:rPr>
        <w:t>,</w:t>
      </w:r>
      <w:r w:rsidR="0062227E">
        <w:rPr>
          <w:szCs w:val="18"/>
        </w:rPr>
        <w:t xml:space="preserve"> as shown in Figure 2b</w:t>
      </w:r>
      <w:r w:rsidR="00953C30">
        <w:rPr>
          <w:szCs w:val="18"/>
        </w:rPr>
        <w:t>,</w:t>
      </w:r>
      <w:r w:rsidRPr="00A932D1">
        <w:rPr>
          <w:szCs w:val="18"/>
        </w:rPr>
        <w:t xml:space="preserve"> is made of polyoxymethylene material and features three tubular stainless-steel electrodes that are strategically designed for easy assembly, seamless integration with the larger plant, high wear resistance, and strict compliance with food safety standards. The electrodes are installed collinearly with two insulator spacers and </w:t>
      </w:r>
      <w:r>
        <w:rPr>
          <w:szCs w:val="18"/>
        </w:rPr>
        <w:t>25</w:t>
      </w:r>
      <w:r w:rsidRPr="00A932D1">
        <w:rPr>
          <w:szCs w:val="18"/>
        </w:rPr>
        <w:t>mm distance between each electrode</w:t>
      </w:r>
      <w:r>
        <w:rPr>
          <w:szCs w:val="18"/>
        </w:rPr>
        <w:t>.</w:t>
      </w:r>
      <w:r w:rsidRPr="00A932D1">
        <w:rPr>
          <w:szCs w:val="18"/>
        </w:rPr>
        <w:t xml:space="preserve"> </w:t>
      </w:r>
      <w:r w:rsidRPr="00BE6142">
        <w:rPr>
          <w:szCs w:val="18"/>
        </w:rPr>
        <w:t xml:space="preserve">The </w:t>
      </w:r>
      <w:r w:rsidRPr="00AF1727">
        <w:rPr>
          <w:szCs w:val="18"/>
        </w:rPr>
        <w:t>distance between the electrodes was defined to have a uniform electric field in the treatment region to allow a higher pulse energy density at the same applied voltage.</w:t>
      </w:r>
      <w:r>
        <w:rPr>
          <w:szCs w:val="18"/>
        </w:rPr>
        <w:t xml:space="preserve"> </w:t>
      </w:r>
      <w:r w:rsidRPr="00A932D1">
        <w:rPr>
          <w:szCs w:val="18"/>
        </w:rPr>
        <w:t xml:space="preserve">The diameter of the electrodes is 40mm and 76mm, respectively, and the input and exit flanges are designed in accordance with DIN </w:t>
      </w:r>
      <w:r>
        <w:rPr>
          <w:szCs w:val="18"/>
        </w:rPr>
        <w:t>50</w:t>
      </w:r>
      <w:r w:rsidRPr="00A932D1">
        <w:rPr>
          <w:szCs w:val="18"/>
        </w:rPr>
        <w:t xml:space="preserve">. The treatment chamber is incorporated into a </w:t>
      </w:r>
      <w:r>
        <w:rPr>
          <w:szCs w:val="18"/>
        </w:rPr>
        <w:t xml:space="preserve">plexiglass </w:t>
      </w:r>
      <w:r w:rsidRPr="00A932D1">
        <w:rPr>
          <w:szCs w:val="18"/>
        </w:rPr>
        <w:t>safety box that has a light indicator to inform workers when it is powered on and a switch that cuts the electrode's voltage in case the box is opened while it is in operation.</w:t>
      </w:r>
      <w:r>
        <w:rPr>
          <w:szCs w:val="18"/>
        </w:rPr>
        <w:t xml:space="preserve"> </w:t>
      </w:r>
      <w:r w:rsidRPr="00AF1727">
        <w:rPr>
          <w:szCs w:val="18"/>
        </w:rPr>
        <w:t xml:space="preserve">An estimated </w:t>
      </w:r>
      <w:r>
        <w:rPr>
          <w:szCs w:val="18"/>
        </w:rPr>
        <w:t>specific energy</w:t>
      </w:r>
      <w:r w:rsidRPr="00AF1727">
        <w:rPr>
          <w:szCs w:val="18"/>
        </w:rPr>
        <w:t xml:space="preserve"> could be calculated </w:t>
      </w:r>
      <w:r>
        <w:rPr>
          <w:szCs w:val="18"/>
        </w:rPr>
        <w:t xml:space="preserve">by the </w:t>
      </w:r>
      <w:r w:rsidRPr="00AF1727">
        <w:rPr>
          <w:szCs w:val="18"/>
        </w:rPr>
        <w:t>general formula</w:t>
      </w:r>
      <w:r>
        <w:rPr>
          <w:szCs w:val="18"/>
        </w:rPr>
        <w:t>:</w:t>
      </w:r>
    </w:p>
    <w:p w14:paraId="6C26762D" w14:textId="77777777" w:rsidR="006B1C9B" w:rsidRDefault="006B1C9B" w:rsidP="006B1C9B">
      <w:pPr>
        <w:pStyle w:val="CETBodytext"/>
        <w:rPr>
          <w:szCs w:val="18"/>
        </w:rPr>
      </w:pPr>
    </w:p>
    <w:p w14:paraId="1A909F06" w14:textId="40A0EB23" w:rsidR="006B1C9B" w:rsidRDefault="006B1C9B" w:rsidP="001C2AB1">
      <w:pPr>
        <w:pStyle w:val="CETBodytext"/>
        <w:ind w:left="4111" w:hanging="4111"/>
        <w:jc w:val="left"/>
        <w:rPr>
          <w:szCs w:val="18"/>
        </w:rPr>
      </w:pPr>
      <m:oMath>
        <m:r>
          <w:rPr>
            <w:rFonts w:ascii="Cambria Math" w:hAnsi="Cambria Math"/>
            <w:sz w:val="24"/>
            <w:szCs w:val="24"/>
          </w:rPr>
          <m:t>Ws=</m:t>
        </m:r>
        <m:f>
          <m:fPr>
            <m:ctrlPr>
              <w:rPr>
                <w:rFonts w:ascii="Cambria Math" w:hAnsi="Cambria Math"/>
                <w:i/>
                <w:sz w:val="24"/>
                <w:szCs w:val="24"/>
              </w:rPr>
            </m:ctrlPr>
          </m:fPr>
          <m:num>
            <m:r>
              <w:rPr>
                <w:rFonts w:ascii="Cambria Math" w:hAnsi="Cambria Math"/>
                <w:sz w:val="24"/>
                <w:szCs w:val="24"/>
              </w:rPr>
              <m:t>W*n</m:t>
            </m:r>
          </m:num>
          <m:den>
            <m:r>
              <w:rPr>
                <w:rFonts w:ascii="Cambria Math" w:hAnsi="Cambria Math"/>
                <w:sz w:val="24"/>
                <w:szCs w:val="24"/>
              </w:rPr>
              <m:t>V*ρ</m:t>
            </m:r>
          </m:den>
        </m:f>
      </m:oMath>
      <w:r>
        <w:rPr>
          <w:szCs w:val="18"/>
        </w:rPr>
        <w:tab/>
      </w:r>
      <w:r w:rsidR="0062227E">
        <w:rPr>
          <w:szCs w:val="18"/>
        </w:rPr>
        <w:tab/>
      </w:r>
      <w:r w:rsidR="0062227E">
        <w:rPr>
          <w:szCs w:val="18"/>
        </w:rPr>
        <w:tab/>
      </w:r>
      <w:r w:rsidR="0062227E">
        <w:rPr>
          <w:szCs w:val="18"/>
        </w:rPr>
        <w:tab/>
      </w:r>
      <w:r>
        <w:rPr>
          <w:szCs w:val="18"/>
        </w:rPr>
        <w:t>(1)</w:t>
      </w:r>
    </w:p>
    <w:p w14:paraId="23784404" w14:textId="77777777" w:rsidR="001C2AB1" w:rsidRPr="00AF1727" w:rsidRDefault="001C2AB1" w:rsidP="001C2AB1">
      <w:pPr>
        <w:pStyle w:val="CETBodytext"/>
        <w:ind w:left="4111" w:hanging="4111"/>
        <w:jc w:val="left"/>
        <w:rPr>
          <w:szCs w:val="18"/>
        </w:rPr>
      </w:pPr>
    </w:p>
    <w:p w14:paraId="39317AA1" w14:textId="77777777" w:rsidR="006B1C9B" w:rsidRDefault="006B1C9B" w:rsidP="006B1C9B">
      <w:pPr>
        <w:pStyle w:val="CETBodytext"/>
        <w:rPr>
          <w:szCs w:val="18"/>
        </w:rPr>
      </w:pPr>
      <w:r>
        <w:rPr>
          <w:szCs w:val="18"/>
        </w:rPr>
        <w:t xml:space="preserve">where W represent pulse energy, n numbers of pulses, V the volume of treatment chamber and </w:t>
      </w:r>
      <w:r>
        <w:rPr>
          <w:rFonts w:cs="Arial"/>
          <w:szCs w:val="18"/>
        </w:rPr>
        <w:t>ρ</w:t>
      </w:r>
      <w:r>
        <w:rPr>
          <w:szCs w:val="18"/>
        </w:rPr>
        <w:t xml:space="preserve"> density of material treated. </w:t>
      </w:r>
    </w:p>
    <w:p w14:paraId="6C7782B5" w14:textId="76CDF220" w:rsidR="00791535" w:rsidRPr="008B2E61" w:rsidRDefault="0062227E" w:rsidP="0062227E">
      <w:pPr>
        <w:pStyle w:val="CETheadingx"/>
      </w:pPr>
      <w:r>
        <w:t>2.4.</w:t>
      </w:r>
      <w:r>
        <w:tab/>
      </w:r>
      <w:r w:rsidR="00791535" w:rsidRPr="008B2E61">
        <w:t xml:space="preserve">PEF </w:t>
      </w:r>
      <w:r w:rsidR="00257F11" w:rsidRPr="008B2E61">
        <w:t xml:space="preserve">equipment </w:t>
      </w:r>
      <w:r w:rsidR="00257F11">
        <w:t>implementation</w:t>
      </w:r>
    </w:p>
    <w:p w14:paraId="2EA90F63" w14:textId="06A83CCD" w:rsidR="00791535" w:rsidRDefault="00257F11" w:rsidP="00791535">
      <w:pPr>
        <w:pStyle w:val="CETBodytext"/>
      </w:pPr>
      <w:r w:rsidRPr="00257F11">
        <w:t>As shown in Figure 1 PEF equipment was installed in series with the piping that connects the crusher to the two malaxers.</w:t>
      </w:r>
      <w:r w:rsidR="00791535" w:rsidRPr="00791535">
        <w:t xml:space="preserve"> The programmable logic controller (PLC) was responsible for controlling the PEF unit and adjusting the operating parameters, such as voltage (V), frequency (Hz), and pulse duration (μs). By setting these parameters, the specific energy value (kJkg</w:t>
      </w:r>
      <w:r w:rsidR="00493A91" w:rsidRPr="00493A91">
        <w:rPr>
          <w:vertAlign w:val="superscript"/>
        </w:rPr>
        <w:t>-1</w:t>
      </w:r>
      <w:r w:rsidR="00791535" w:rsidRPr="00791535">
        <w:t>) transferred to the olive paste was defined.</w:t>
      </w:r>
    </w:p>
    <w:p w14:paraId="5E140D27" w14:textId="4617341A" w:rsidR="005D25A6" w:rsidRDefault="0062227E" w:rsidP="0062227E">
      <w:pPr>
        <w:pStyle w:val="CETheadingx"/>
      </w:pPr>
      <w:r>
        <w:lastRenderedPageBreak/>
        <w:t>2.5.</w:t>
      </w:r>
      <w:r>
        <w:tab/>
      </w:r>
      <w:r w:rsidR="002E4CB0">
        <w:t xml:space="preserve">Experimental procedure </w:t>
      </w:r>
    </w:p>
    <w:p w14:paraId="42497FFD" w14:textId="1B325AF3" w:rsidR="00D535F8" w:rsidRDefault="00D535F8" w:rsidP="00D535F8">
      <w:pPr>
        <w:pStyle w:val="CETBodytext"/>
      </w:pPr>
      <w:r>
        <w:t>Experimental tests were conducted on homogenous olive batches (</w:t>
      </w:r>
      <w:r w:rsidR="00890B2F">
        <w:t xml:space="preserve">500 </w:t>
      </w:r>
      <w:r>
        <w:t xml:space="preserve">kg) and </w:t>
      </w:r>
      <w:r w:rsidR="00FD6D60">
        <w:t xml:space="preserve">at </w:t>
      </w:r>
      <w:r w:rsidR="00890B2F">
        <w:t>the same processing parameters</w:t>
      </w:r>
      <w:r>
        <w:t xml:space="preserve">: malaxation </w:t>
      </w:r>
      <w:r w:rsidR="0062227E">
        <w:t xml:space="preserve">time and </w:t>
      </w:r>
      <w:r>
        <w:t>temperatures</w:t>
      </w:r>
      <w:r w:rsidR="0062227E">
        <w:t xml:space="preserve"> were respectively of</w:t>
      </w:r>
      <w:r>
        <w:t xml:space="preserve"> </w:t>
      </w:r>
      <w:r w:rsidR="0062227E">
        <w:t>30 min and</w:t>
      </w:r>
      <w:r w:rsidR="00890B2F">
        <w:t xml:space="preserve"> </w:t>
      </w:r>
      <w:r>
        <w:t xml:space="preserve">24 °C. The tests were carried out from plant operation in control status (PEF switch OFF) and compared with PEF unit set for different conditions (PEF switch ON): Specific Energy of 4.0 </w:t>
      </w:r>
      <w:r w:rsidRPr="00A91A6E">
        <w:t>kJ</w:t>
      </w:r>
      <w:r>
        <w:t xml:space="preserve"> </w:t>
      </w:r>
      <w:r w:rsidRPr="00A91A6E">
        <w:t>kg</w:t>
      </w:r>
      <w:r w:rsidRPr="00D535F8">
        <w:rPr>
          <w:vertAlign w:val="superscript"/>
        </w:rPr>
        <w:t>-1</w:t>
      </w:r>
      <w:r>
        <w:t xml:space="preserve"> and 5.0 </w:t>
      </w:r>
      <w:r w:rsidRPr="00A91A6E">
        <w:t>kJ</w:t>
      </w:r>
      <w:r>
        <w:t xml:space="preserve"> </w:t>
      </w:r>
      <w:r w:rsidRPr="00A91A6E">
        <w:t>kg</w:t>
      </w:r>
      <w:r w:rsidRPr="00D535F8">
        <w:rPr>
          <w:vertAlign w:val="superscript"/>
        </w:rPr>
        <w:t>-1</w:t>
      </w:r>
      <w:r>
        <w:t xml:space="preserve">; operative parameters </w:t>
      </w:r>
      <w:r w:rsidR="00FD6D60">
        <w:t xml:space="preserve">of PEF unit </w:t>
      </w:r>
      <w:r>
        <w:t>for each test condition are listed in Table 1.</w:t>
      </w:r>
      <w:r w:rsidRPr="00D535F8">
        <w:t xml:space="preserve"> </w:t>
      </w:r>
      <w:r w:rsidR="00FD6D60">
        <w:t>PEF condition</w:t>
      </w:r>
      <w:r w:rsidR="00953C30">
        <w:t>s</w:t>
      </w:r>
      <w:r w:rsidR="00FD6D60">
        <w:t xml:space="preserve"> </w:t>
      </w:r>
      <w:r w:rsidR="00953C30">
        <w:t>were</w:t>
      </w:r>
      <w:r w:rsidR="00FD6D60">
        <w:t xml:space="preserve"> applied </w:t>
      </w:r>
      <w:r w:rsidR="00953C30">
        <w:t xml:space="preserve">to </w:t>
      </w:r>
      <w:r w:rsidR="00FD6D60">
        <w:t xml:space="preserve">two different </w:t>
      </w:r>
      <w:r w:rsidR="00953C30">
        <w:t xml:space="preserve">olives </w:t>
      </w:r>
      <w:r w:rsidR="00890B2F">
        <w:t>varieties</w:t>
      </w:r>
      <w:r w:rsidR="00FD6D60">
        <w:t xml:space="preserve">. </w:t>
      </w:r>
      <w:r>
        <w:t>Each test condition was performed five times.</w:t>
      </w:r>
      <w:r w:rsidR="00FD6D60" w:rsidRPr="00FD6D60">
        <w:t xml:space="preserve"> </w:t>
      </w:r>
      <w:r w:rsidR="00890B2F" w:rsidRPr="00890B2F">
        <w:t>the decanter feed rate was</w:t>
      </w:r>
      <w:r w:rsidR="00890B2F">
        <w:t xml:space="preserve"> </w:t>
      </w:r>
      <w:r w:rsidR="00FD6D60">
        <w:t>750 kg h</w:t>
      </w:r>
      <w:r w:rsidR="00FD6D60" w:rsidRPr="00D535F8">
        <w:rPr>
          <w:rFonts w:eastAsia="Arial" w:cs="Arial"/>
          <w:vertAlign w:val="superscript"/>
        </w:rPr>
        <w:t>-</w:t>
      </w:r>
      <w:r w:rsidR="00FD6D60" w:rsidRPr="00D535F8">
        <w:rPr>
          <w:vertAlign w:val="superscript"/>
        </w:rPr>
        <w:t>1</w:t>
      </w:r>
      <w:r w:rsidR="00FD6D60">
        <w:t xml:space="preserve"> without added process water.</w:t>
      </w:r>
    </w:p>
    <w:p w14:paraId="3FD049B4" w14:textId="77777777" w:rsidR="00797592" w:rsidRPr="0062227E" w:rsidRDefault="00797592" w:rsidP="0062227E">
      <w:pPr>
        <w:pStyle w:val="CETTabletitle"/>
      </w:pPr>
      <w:r w:rsidRPr="00D568B2">
        <w:t xml:space="preserve">Table 1: </w:t>
      </w:r>
      <w:r>
        <w:t>O</w:t>
      </w:r>
      <w:r w:rsidRPr="00D568B2">
        <w:t>perative setup of the PEF machine</w:t>
      </w:r>
    </w:p>
    <w:tbl>
      <w:tblPr>
        <w:tblStyle w:val="Grigliatabella"/>
        <w:tblpPr w:leftFromText="141" w:rightFromText="141" w:vertAnchor="text" w:horzAnchor="margin" w:tblpY="24"/>
        <w:tblW w:w="4759" w:type="pct"/>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Look w:val="04A0" w:firstRow="1" w:lastRow="0" w:firstColumn="1" w:lastColumn="0" w:noHBand="0" w:noVBand="1"/>
      </w:tblPr>
      <w:tblGrid>
        <w:gridCol w:w="994"/>
        <w:gridCol w:w="1559"/>
        <w:gridCol w:w="1415"/>
        <w:gridCol w:w="1275"/>
        <w:gridCol w:w="1136"/>
        <w:gridCol w:w="1984"/>
      </w:tblGrid>
      <w:tr w:rsidR="00797592" w:rsidRPr="00A91A6E" w14:paraId="61B932B7" w14:textId="77777777" w:rsidTr="007B1780">
        <w:tc>
          <w:tcPr>
            <w:tcW w:w="595" w:type="pct"/>
            <w:tcBorders>
              <w:top w:val="single" w:sz="12" w:space="0" w:color="008000"/>
              <w:bottom w:val="single" w:sz="8" w:space="0" w:color="008000"/>
            </w:tcBorders>
            <w:vAlign w:val="center"/>
            <w:hideMark/>
          </w:tcPr>
          <w:p w14:paraId="34A86172" w14:textId="77777777" w:rsidR="00797592" w:rsidRPr="00A91A6E" w:rsidRDefault="00797592" w:rsidP="007B1780">
            <w:pPr>
              <w:jc w:val="center"/>
              <w:rPr>
                <w:lang w:val="en-US"/>
              </w:rPr>
            </w:pPr>
            <w:r w:rsidRPr="00A91A6E">
              <w:rPr>
                <w:lang w:val="en-US"/>
              </w:rPr>
              <w:t xml:space="preserve">Power </w:t>
            </w:r>
          </w:p>
          <w:p w14:paraId="3AAF3133" w14:textId="77777777" w:rsidR="00797592" w:rsidRPr="00A91A6E" w:rsidRDefault="00797592" w:rsidP="007B1780">
            <w:pPr>
              <w:jc w:val="center"/>
              <w:rPr>
                <w:lang w:val="en-US"/>
              </w:rPr>
            </w:pPr>
            <w:r w:rsidRPr="00A91A6E">
              <w:rPr>
                <w:lang w:val="en-US"/>
              </w:rPr>
              <w:t>[W]</w:t>
            </w:r>
          </w:p>
        </w:tc>
        <w:tc>
          <w:tcPr>
            <w:tcW w:w="932" w:type="pct"/>
            <w:tcBorders>
              <w:top w:val="single" w:sz="12" w:space="0" w:color="008000"/>
              <w:bottom w:val="single" w:sz="8" w:space="0" w:color="008000"/>
            </w:tcBorders>
            <w:vAlign w:val="center"/>
            <w:hideMark/>
          </w:tcPr>
          <w:p w14:paraId="6DFF42BF" w14:textId="77777777" w:rsidR="00797592" w:rsidRPr="00A91A6E" w:rsidRDefault="00797592" w:rsidP="007B1780">
            <w:pPr>
              <w:jc w:val="center"/>
              <w:rPr>
                <w:lang w:val="en-US"/>
              </w:rPr>
            </w:pPr>
            <w:r w:rsidRPr="00A91A6E">
              <w:rPr>
                <w:lang w:val="en-US"/>
              </w:rPr>
              <w:t>Pulse length</w:t>
            </w:r>
          </w:p>
          <w:p w14:paraId="74B095B1" w14:textId="77777777" w:rsidR="00797592" w:rsidRPr="00A91A6E" w:rsidRDefault="00797592" w:rsidP="007B1780">
            <w:pPr>
              <w:jc w:val="center"/>
              <w:rPr>
                <w:lang w:val="en-US"/>
              </w:rPr>
            </w:pPr>
            <w:r w:rsidRPr="00A91A6E">
              <w:rPr>
                <w:lang w:val="en-US"/>
              </w:rPr>
              <w:t>[µs]</w:t>
            </w:r>
          </w:p>
        </w:tc>
        <w:tc>
          <w:tcPr>
            <w:tcW w:w="846" w:type="pct"/>
            <w:tcBorders>
              <w:top w:val="single" w:sz="12" w:space="0" w:color="008000"/>
              <w:bottom w:val="single" w:sz="8" w:space="0" w:color="008000"/>
            </w:tcBorders>
            <w:vAlign w:val="center"/>
            <w:hideMark/>
          </w:tcPr>
          <w:p w14:paraId="356B8E54" w14:textId="77777777" w:rsidR="00797592" w:rsidRPr="00A91A6E" w:rsidRDefault="00797592" w:rsidP="007B1780">
            <w:pPr>
              <w:jc w:val="center"/>
              <w:rPr>
                <w:lang w:val="en-US"/>
              </w:rPr>
            </w:pPr>
            <w:r w:rsidRPr="00A91A6E">
              <w:rPr>
                <w:lang w:val="en-US"/>
              </w:rPr>
              <w:t>Frequency</w:t>
            </w:r>
          </w:p>
          <w:p w14:paraId="7A3FFD0F" w14:textId="77777777" w:rsidR="00797592" w:rsidRPr="00A91A6E" w:rsidRDefault="00797592" w:rsidP="007B1780">
            <w:pPr>
              <w:jc w:val="center"/>
              <w:rPr>
                <w:lang w:val="en-US"/>
              </w:rPr>
            </w:pPr>
            <w:r w:rsidRPr="00A91A6E">
              <w:rPr>
                <w:lang w:val="en-US"/>
              </w:rPr>
              <w:t>[Hz]</w:t>
            </w:r>
          </w:p>
        </w:tc>
        <w:tc>
          <w:tcPr>
            <w:tcW w:w="762" w:type="pct"/>
            <w:tcBorders>
              <w:top w:val="single" w:sz="12" w:space="0" w:color="008000"/>
              <w:bottom w:val="single" w:sz="8" w:space="0" w:color="008000"/>
            </w:tcBorders>
            <w:vAlign w:val="center"/>
            <w:hideMark/>
          </w:tcPr>
          <w:p w14:paraId="03DC32C5" w14:textId="77777777" w:rsidR="00797592" w:rsidRPr="00A91A6E" w:rsidRDefault="00797592" w:rsidP="007B1780">
            <w:pPr>
              <w:jc w:val="center"/>
              <w:rPr>
                <w:lang w:val="en-US"/>
              </w:rPr>
            </w:pPr>
            <w:r w:rsidRPr="00A91A6E">
              <w:rPr>
                <w:lang w:val="en-US"/>
              </w:rPr>
              <w:t>Electric field [kV</w:t>
            </w:r>
            <w:r>
              <w:rPr>
                <w:lang w:val="en-US"/>
              </w:rPr>
              <w:t xml:space="preserve"> </w:t>
            </w:r>
            <w:r w:rsidRPr="00A91A6E">
              <w:rPr>
                <w:lang w:val="en-US"/>
              </w:rPr>
              <w:t>cm</w:t>
            </w:r>
            <w:r w:rsidRPr="00D535F8">
              <w:rPr>
                <w:vertAlign w:val="superscript"/>
                <w:lang w:val="en-US"/>
              </w:rPr>
              <w:t>-1</w:t>
            </w:r>
            <w:r w:rsidRPr="00A91A6E">
              <w:rPr>
                <w:lang w:val="en-US"/>
              </w:rPr>
              <w:t>]</w:t>
            </w:r>
          </w:p>
        </w:tc>
        <w:tc>
          <w:tcPr>
            <w:tcW w:w="679" w:type="pct"/>
            <w:tcBorders>
              <w:top w:val="single" w:sz="12" w:space="0" w:color="008000"/>
              <w:bottom w:val="single" w:sz="8" w:space="0" w:color="008000"/>
            </w:tcBorders>
            <w:vAlign w:val="center"/>
            <w:hideMark/>
          </w:tcPr>
          <w:p w14:paraId="31946F08" w14:textId="77777777" w:rsidR="00797592" w:rsidRPr="00A91A6E" w:rsidRDefault="00797592" w:rsidP="007B1780">
            <w:pPr>
              <w:jc w:val="center"/>
              <w:rPr>
                <w:lang w:val="en-US"/>
              </w:rPr>
            </w:pPr>
            <w:r w:rsidRPr="00A91A6E">
              <w:rPr>
                <w:lang w:val="en-US"/>
              </w:rPr>
              <w:t>Voltage</w:t>
            </w:r>
          </w:p>
          <w:p w14:paraId="267459FA" w14:textId="77777777" w:rsidR="00797592" w:rsidRPr="00A91A6E" w:rsidRDefault="00797592" w:rsidP="007B1780">
            <w:pPr>
              <w:jc w:val="center"/>
            </w:pPr>
            <w:r w:rsidRPr="00A91A6E">
              <w:rPr>
                <w:lang w:val="en-US"/>
              </w:rPr>
              <w:t>[V cm</w:t>
            </w:r>
            <w:r w:rsidRPr="00D535F8">
              <w:rPr>
                <w:vertAlign w:val="superscript"/>
                <w:lang w:val="en-US"/>
              </w:rPr>
              <w:t>-1</w:t>
            </w:r>
            <w:r w:rsidRPr="00A91A6E">
              <w:rPr>
                <w:lang w:val="en-US"/>
              </w:rPr>
              <w:t>]</w:t>
            </w:r>
          </w:p>
        </w:tc>
        <w:tc>
          <w:tcPr>
            <w:tcW w:w="1186" w:type="pct"/>
            <w:tcBorders>
              <w:top w:val="single" w:sz="12" w:space="0" w:color="008000"/>
              <w:bottom w:val="single" w:sz="8" w:space="0" w:color="008000"/>
            </w:tcBorders>
          </w:tcPr>
          <w:p w14:paraId="58AC9E04" w14:textId="77777777" w:rsidR="00797592" w:rsidRDefault="00797592" w:rsidP="007B1780">
            <w:pPr>
              <w:jc w:val="center"/>
            </w:pPr>
            <w:r w:rsidRPr="00A91A6E">
              <w:t xml:space="preserve">Specific Energy </w:t>
            </w:r>
          </w:p>
          <w:p w14:paraId="7136E341" w14:textId="77777777" w:rsidR="00797592" w:rsidRPr="00A91A6E" w:rsidRDefault="00797592" w:rsidP="007B1780">
            <w:pPr>
              <w:jc w:val="center"/>
            </w:pPr>
            <w:r w:rsidRPr="00A91A6E">
              <w:t>[</w:t>
            </w:r>
            <w:bookmarkStart w:id="1" w:name="_Hlk131069801"/>
            <w:r w:rsidRPr="00A91A6E">
              <w:t>kJ</w:t>
            </w:r>
            <w:r>
              <w:t xml:space="preserve"> </w:t>
            </w:r>
            <w:r w:rsidRPr="00A91A6E">
              <w:t>kg</w:t>
            </w:r>
            <w:r w:rsidRPr="00D535F8">
              <w:rPr>
                <w:vertAlign w:val="superscript"/>
              </w:rPr>
              <w:t>-1</w:t>
            </w:r>
            <w:bookmarkEnd w:id="1"/>
            <w:r w:rsidRPr="00A91A6E">
              <w:t>]</w:t>
            </w:r>
          </w:p>
        </w:tc>
      </w:tr>
      <w:tr w:rsidR="00797592" w:rsidRPr="00A91A6E" w14:paraId="2C4BD802" w14:textId="77777777" w:rsidTr="007B1780">
        <w:tc>
          <w:tcPr>
            <w:tcW w:w="595" w:type="pct"/>
            <w:tcBorders>
              <w:top w:val="single" w:sz="8" w:space="0" w:color="008000"/>
            </w:tcBorders>
          </w:tcPr>
          <w:p w14:paraId="18DB8B4C" w14:textId="77777777" w:rsidR="00797592" w:rsidRPr="002B008F" w:rsidRDefault="00797592" w:rsidP="007B1780">
            <w:pPr>
              <w:jc w:val="center"/>
              <w:rPr>
                <w:lang w:val="en-US"/>
              </w:rPr>
            </w:pPr>
            <w:r w:rsidRPr="002B008F">
              <w:rPr>
                <w:lang w:val="en-US"/>
              </w:rPr>
              <w:t>800</w:t>
            </w:r>
          </w:p>
        </w:tc>
        <w:tc>
          <w:tcPr>
            <w:tcW w:w="932" w:type="pct"/>
            <w:tcBorders>
              <w:top w:val="single" w:sz="8" w:space="0" w:color="008000"/>
            </w:tcBorders>
          </w:tcPr>
          <w:p w14:paraId="397B9CE8" w14:textId="77777777" w:rsidR="00797592" w:rsidRPr="002B008F" w:rsidRDefault="00797592" w:rsidP="007B1780">
            <w:pPr>
              <w:jc w:val="center"/>
              <w:rPr>
                <w:lang w:val="en-US"/>
              </w:rPr>
            </w:pPr>
            <w:r w:rsidRPr="002B008F">
              <w:rPr>
                <w:lang w:val="en-US"/>
              </w:rPr>
              <w:t>20</w:t>
            </w:r>
          </w:p>
        </w:tc>
        <w:tc>
          <w:tcPr>
            <w:tcW w:w="846" w:type="pct"/>
            <w:tcBorders>
              <w:top w:val="single" w:sz="8" w:space="0" w:color="008000"/>
            </w:tcBorders>
          </w:tcPr>
          <w:p w14:paraId="563F2FE5" w14:textId="77777777" w:rsidR="00797592" w:rsidRPr="002B008F" w:rsidRDefault="00797592" w:rsidP="007B1780">
            <w:pPr>
              <w:jc w:val="center"/>
              <w:rPr>
                <w:lang w:val="en-US"/>
              </w:rPr>
            </w:pPr>
            <w:r w:rsidRPr="002B008F">
              <w:rPr>
                <w:lang w:val="en-US"/>
              </w:rPr>
              <w:t>55</w:t>
            </w:r>
          </w:p>
        </w:tc>
        <w:tc>
          <w:tcPr>
            <w:tcW w:w="762" w:type="pct"/>
            <w:tcBorders>
              <w:top w:val="single" w:sz="8" w:space="0" w:color="008000"/>
            </w:tcBorders>
          </w:tcPr>
          <w:p w14:paraId="511D4632" w14:textId="77777777" w:rsidR="00797592" w:rsidRPr="002B008F" w:rsidRDefault="00797592" w:rsidP="007B1780">
            <w:pPr>
              <w:jc w:val="center"/>
              <w:rPr>
                <w:lang w:val="en-US"/>
              </w:rPr>
            </w:pPr>
            <w:r w:rsidRPr="002B008F">
              <w:rPr>
                <w:lang w:val="en-US"/>
              </w:rPr>
              <w:t>1.8</w:t>
            </w:r>
          </w:p>
        </w:tc>
        <w:tc>
          <w:tcPr>
            <w:tcW w:w="679" w:type="pct"/>
            <w:tcBorders>
              <w:top w:val="single" w:sz="8" w:space="0" w:color="008000"/>
            </w:tcBorders>
          </w:tcPr>
          <w:p w14:paraId="6B1ADC7B" w14:textId="77777777" w:rsidR="00797592" w:rsidRPr="002B008F" w:rsidRDefault="00797592" w:rsidP="007B1780">
            <w:pPr>
              <w:jc w:val="center"/>
              <w:rPr>
                <w:lang w:val="en-US"/>
              </w:rPr>
            </w:pPr>
            <w:r w:rsidRPr="002B008F">
              <w:rPr>
                <w:lang w:val="en-US"/>
              </w:rPr>
              <w:t>7200</w:t>
            </w:r>
          </w:p>
        </w:tc>
        <w:tc>
          <w:tcPr>
            <w:tcW w:w="1186" w:type="pct"/>
            <w:tcBorders>
              <w:top w:val="single" w:sz="8" w:space="0" w:color="008000"/>
            </w:tcBorders>
          </w:tcPr>
          <w:p w14:paraId="00893F3E" w14:textId="77777777" w:rsidR="00797592" w:rsidRPr="002B008F" w:rsidRDefault="00797592" w:rsidP="007B1780">
            <w:pPr>
              <w:jc w:val="center"/>
              <w:rPr>
                <w:lang w:val="en-US"/>
              </w:rPr>
            </w:pPr>
            <w:r w:rsidRPr="002B008F">
              <w:rPr>
                <w:lang w:val="en-US"/>
              </w:rPr>
              <w:t>4.0</w:t>
            </w:r>
          </w:p>
        </w:tc>
      </w:tr>
      <w:tr w:rsidR="00797592" w:rsidRPr="00A91A6E" w14:paraId="2A84D4C6" w14:textId="77777777" w:rsidTr="007B1780">
        <w:tc>
          <w:tcPr>
            <w:tcW w:w="595" w:type="pct"/>
          </w:tcPr>
          <w:p w14:paraId="74AA9E30" w14:textId="77777777" w:rsidR="00797592" w:rsidRPr="002B008F" w:rsidRDefault="00797592" w:rsidP="007B1780">
            <w:pPr>
              <w:jc w:val="center"/>
              <w:rPr>
                <w:lang w:val="en-US"/>
              </w:rPr>
            </w:pPr>
            <w:r w:rsidRPr="002B008F">
              <w:rPr>
                <w:lang w:val="en-US"/>
              </w:rPr>
              <w:t>1000</w:t>
            </w:r>
          </w:p>
        </w:tc>
        <w:tc>
          <w:tcPr>
            <w:tcW w:w="932" w:type="pct"/>
          </w:tcPr>
          <w:p w14:paraId="50839E7F" w14:textId="77777777" w:rsidR="00797592" w:rsidRPr="002B008F" w:rsidRDefault="00797592" w:rsidP="007B1780">
            <w:pPr>
              <w:jc w:val="center"/>
              <w:rPr>
                <w:lang w:val="en-US"/>
              </w:rPr>
            </w:pPr>
            <w:r w:rsidRPr="002B008F">
              <w:rPr>
                <w:lang w:val="en-US"/>
              </w:rPr>
              <w:t>20</w:t>
            </w:r>
          </w:p>
        </w:tc>
        <w:tc>
          <w:tcPr>
            <w:tcW w:w="846" w:type="pct"/>
          </w:tcPr>
          <w:p w14:paraId="64644487" w14:textId="77777777" w:rsidR="00797592" w:rsidRPr="002B008F" w:rsidRDefault="00797592" w:rsidP="007B1780">
            <w:pPr>
              <w:jc w:val="center"/>
              <w:rPr>
                <w:lang w:val="en-US"/>
              </w:rPr>
            </w:pPr>
            <w:r w:rsidRPr="002B008F">
              <w:rPr>
                <w:lang w:val="en-US"/>
              </w:rPr>
              <w:t>70</w:t>
            </w:r>
          </w:p>
        </w:tc>
        <w:tc>
          <w:tcPr>
            <w:tcW w:w="762" w:type="pct"/>
          </w:tcPr>
          <w:p w14:paraId="75A5D970" w14:textId="77777777" w:rsidR="00797592" w:rsidRPr="002B008F" w:rsidRDefault="00797592" w:rsidP="007B1780">
            <w:pPr>
              <w:jc w:val="center"/>
              <w:rPr>
                <w:lang w:val="en-US"/>
              </w:rPr>
            </w:pPr>
            <w:r w:rsidRPr="002B008F">
              <w:rPr>
                <w:lang w:val="en-US"/>
              </w:rPr>
              <w:t>1.5</w:t>
            </w:r>
          </w:p>
        </w:tc>
        <w:tc>
          <w:tcPr>
            <w:tcW w:w="679" w:type="pct"/>
          </w:tcPr>
          <w:p w14:paraId="76939B30" w14:textId="77777777" w:rsidR="00797592" w:rsidRPr="002B008F" w:rsidRDefault="00797592" w:rsidP="007B1780">
            <w:pPr>
              <w:jc w:val="center"/>
              <w:rPr>
                <w:lang w:val="en-US"/>
              </w:rPr>
            </w:pPr>
            <w:r w:rsidRPr="002B008F">
              <w:rPr>
                <w:lang w:val="en-US"/>
              </w:rPr>
              <w:t>6000</w:t>
            </w:r>
          </w:p>
        </w:tc>
        <w:tc>
          <w:tcPr>
            <w:tcW w:w="1186" w:type="pct"/>
          </w:tcPr>
          <w:p w14:paraId="17B58A3C" w14:textId="77777777" w:rsidR="00797592" w:rsidRPr="002B008F" w:rsidRDefault="00797592" w:rsidP="007B1780">
            <w:pPr>
              <w:jc w:val="center"/>
              <w:rPr>
                <w:lang w:val="en-US"/>
              </w:rPr>
            </w:pPr>
            <w:r w:rsidRPr="002B008F">
              <w:t>5.0</w:t>
            </w:r>
          </w:p>
        </w:tc>
      </w:tr>
    </w:tbl>
    <w:p w14:paraId="0C1085F6" w14:textId="118BD871" w:rsidR="002E4CB0" w:rsidRPr="00B45EC5" w:rsidRDefault="00B45EC5" w:rsidP="00B45EC5">
      <w:pPr>
        <w:pStyle w:val="CETheadingx"/>
      </w:pPr>
      <w:r>
        <w:t>2.6.</w:t>
      </w:r>
      <w:r>
        <w:tab/>
      </w:r>
      <w:r w:rsidR="005C4659" w:rsidRPr="00B45EC5">
        <w:t>Quantitative performance parameters of the plant</w:t>
      </w:r>
    </w:p>
    <w:p w14:paraId="117D1040" w14:textId="75D7E584" w:rsidR="00890B2F" w:rsidRPr="00CF3E0E" w:rsidRDefault="005C4659" w:rsidP="00803413">
      <w:pPr>
        <w:pStyle w:val="Paragrafoelenco"/>
        <w:ind w:left="0"/>
      </w:pPr>
      <w:r w:rsidRPr="008E3F50">
        <w:t>The quantitative performance of the plant was performed by determining: (i) the amount of oil lost in the pomace and (ii) the extractability (E)</w:t>
      </w:r>
      <w:r>
        <w:t xml:space="preserve">. </w:t>
      </w:r>
      <w:r w:rsidRPr="002E4CB0">
        <w:t xml:space="preserve">Moisture and oil content </w:t>
      </w:r>
      <w:r>
        <w:t>in</w:t>
      </w:r>
      <w:r w:rsidRPr="002E4CB0">
        <w:t xml:space="preserve"> olives and pomace</w:t>
      </w:r>
      <w:r w:rsidRPr="008E3F50">
        <w:t xml:space="preserve"> </w:t>
      </w:r>
      <w:r>
        <w:t>has been performing</w:t>
      </w:r>
      <w:r w:rsidRPr="008E3F50">
        <w:t xml:space="preserve"> according to </w:t>
      </w:r>
      <w:r w:rsidRPr="0075208E">
        <w:t xml:space="preserve">Leone et al. </w:t>
      </w:r>
      <w:r w:rsidR="00953C30">
        <w:t>(</w:t>
      </w:r>
      <w:r w:rsidRPr="0075208E">
        <w:t>201</w:t>
      </w:r>
      <w:r w:rsidRPr="008E3F50">
        <w:t>5</w:t>
      </w:r>
      <w:r w:rsidR="00953C30">
        <w:t>)</w:t>
      </w:r>
      <w:r w:rsidRPr="008E3F50">
        <w:t>.</w:t>
      </w:r>
      <w:r>
        <w:t xml:space="preserve"> </w:t>
      </w:r>
      <w:r w:rsidR="00890B2F" w:rsidRPr="008E3F50">
        <w:t>E is the ratio between the per</w:t>
      </w:r>
      <w:r w:rsidR="00890B2F" w:rsidRPr="00CF3E0E">
        <w:t>centage of oil extracted during the process and the percentage of oil contained in the olives</w:t>
      </w:r>
      <w:r>
        <w:t xml:space="preserve"> and was detected according to Leone et al</w:t>
      </w:r>
      <w:r w:rsidR="00953C30">
        <w:t>.</w:t>
      </w:r>
      <w:r>
        <w:t xml:space="preserve"> </w:t>
      </w:r>
      <w:r w:rsidR="00953C30">
        <w:t>(</w:t>
      </w:r>
      <w:r>
        <w:t>2018</w:t>
      </w:r>
      <w:r w:rsidR="00953C30">
        <w:t>)</w:t>
      </w:r>
      <w:r>
        <w:t>.</w:t>
      </w:r>
    </w:p>
    <w:p w14:paraId="2D2009AA" w14:textId="77777777" w:rsidR="007A6563" w:rsidRPr="007A6563" w:rsidRDefault="007A6563" w:rsidP="007A6563">
      <w:pPr>
        <w:pStyle w:val="CETBodytext"/>
      </w:pPr>
    </w:p>
    <w:p w14:paraId="411F7EAC" w14:textId="25DED9BE" w:rsidR="007A6563" w:rsidRPr="007A6563" w:rsidRDefault="00B45EC5" w:rsidP="0062227E">
      <w:pPr>
        <w:pStyle w:val="CETheadingx"/>
      </w:pPr>
      <w:r>
        <w:t>2.7.</w:t>
      </w:r>
      <w:r>
        <w:tab/>
      </w:r>
      <w:r w:rsidR="007A6563" w:rsidRPr="007A6563">
        <w:t>Statistical analysis</w:t>
      </w:r>
    </w:p>
    <w:p w14:paraId="704B63FF" w14:textId="72B7F097" w:rsidR="007A6563" w:rsidRDefault="005C4659" w:rsidP="00600535">
      <w:pPr>
        <w:pStyle w:val="CETBodytext"/>
        <w:rPr>
          <w:lang w:val="en-GB"/>
        </w:rPr>
      </w:pPr>
      <w:r w:rsidRPr="005C4659">
        <w:rPr>
          <w:lang w:val="en-GB"/>
        </w:rPr>
        <w:t>The quantitative results of the different theses compared were evaluated statistically with one-way analysis of variance (ANOVA) with post-hoc Tukey HSD test</w:t>
      </w:r>
      <w:r w:rsidR="006565B3">
        <w:rPr>
          <w:lang w:val="en-GB"/>
        </w:rPr>
        <w:t xml:space="preserve"> (</w:t>
      </w:r>
      <w:r w:rsidR="006565B3" w:rsidRPr="006565B3">
        <w:rPr>
          <w:i/>
          <w:iCs/>
          <w:lang w:val="en-GB"/>
        </w:rPr>
        <w:t>p&lt;0.05</w:t>
      </w:r>
      <w:r w:rsidR="006565B3">
        <w:rPr>
          <w:lang w:val="en-GB"/>
        </w:rPr>
        <w:t>)</w:t>
      </w:r>
      <w:r w:rsidRPr="005C4659">
        <w:rPr>
          <w:lang w:val="en-GB"/>
        </w:rPr>
        <w:t xml:space="preserve">, by using </w:t>
      </w:r>
      <w:r w:rsidR="0023357F" w:rsidRPr="0023357F">
        <w:rPr>
          <w:lang w:val="en-GB"/>
        </w:rPr>
        <w:t>MATLAB® machine learning and statistical toolboxes</w:t>
      </w:r>
      <w:r w:rsidRPr="005C4659">
        <w:rPr>
          <w:lang w:val="en-GB"/>
        </w:rPr>
        <w:t>.</w:t>
      </w:r>
    </w:p>
    <w:p w14:paraId="47F95882" w14:textId="6C0EFB79" w:rsidR="00973F77" w:rsidRDefault="00B45EC5" w:rsidP="00973F77">
      <w:pPr>
        <w:pStyle w:val="CETHeading1"/>
      </w:pPr>
      <w:r>
        <w:t xml:space="preserve">3. </w:t>
      </w:r>
      <w:r w:rsidR="00973F77" w:rsidRPr="00973F77">
        <w:t>Results and discussion</w:t>
      </w:r>
    </w:p>
    <w:p w14:paraId="529008EF" w14:textId="3706F9FF" w:rsidR="00973F77" w:rsidRDefault="003C7C78" w:rsidP="003C7C78">
      <w:pPr>
        <w:pStyle w:val="CETBodytext"/>
      </w:pPr>
      <w:r>
        <w:t>In table 1 t</w:t>
      </w:r>
      <w:r w:rsidR="00C76299" w:rsidRPr="00C712D5">
        <w:t>he results of the by-products</w:t>
      </w:r>
      <w:r>
        <w:t xml:space="preserve"> analysis and extractability of the extraction plant are shown</w:t>
      </w:r>
      <w:r w:rsidR="00C76299" w:rsidRPr="00C712D5">
        <w:t xml:space="preserve">. </w:t>
      </w:r>
    </w:p>
    <w:p w14:paraId="7AB38D01" w14:textId="77777777" w:rsidR="00D568B2" w:rsidRPr="00B45EC5" w:rsidRDefault="00D568B2" w:rsidP="00B45EC5">
      <w:pPr>
        <w:pStyle w:val="CETTabletitle"/>
      </w:pPr>
      <w:r w:rsidRPr="00D568B2">
        <w:t>Table 2 – Quantitative results and process parameters</w:t>
      </w:r>
    </w:p>
    <w:tbl>
      <w:tblPr>
        <w:tblStyle w:val="Elencotabella3"/>
        <w:tblW w:w="5000" w:type="pct"/>
        <w:tblLook w:val="04A0" w:firstRow="1" w:lastRow="0" w:firstColumn="1" w:lastColumn="0" w:noHBand="0" w:noVBand="1"/>
      </w:tblPr>
      <w:tblGrid>
        <w:gridCol w:w="1832"/>
        <w:gridCol w:w="1831"/>
        <w:gridCol w:w="1648"/>
        <w:gridCol w:w="1647"/>
        <w:gridCol w:w="1829"/>
      </w:tblGrid>
      <w:tr w:rsidR="00D568B2" w:rsidRPr="00D568B2" w14:paraId="51682D15" w14:textId="77777777" w:rsidTr="00FF1491">
        <w:trPr>
          <w:cnfStyle w:val="100000000000" w:firstRow="1" w:lastRow="0" w:firstColumn="0" w:lastColumn="0" w:oddVBand="0" w:evenVBand="0" w:oddHBand="0" w:evenHBand="0" w:firstRowFirstColumn="0" w:firstRowLastColumn="0" w:lastRowFirstColumn="0" w:lastRowLastColumn="0"/>
          <w:trHeight w:val="324"/>
        </w:trPr>
        <w:tc>
          <w:tcPr>
            <w:tcW w:w="1042" w:type="pct"/>
            <w:tcBorders>
              <w:top w:val="single" w:sz="12" w:space="0" w:color="008000"/>
              <w:bottom w:val="nil"/>
              <w:right w:val="nil"/>
            </w:tcBorders>
          </w:tcPr>
          <w:p w14:paraId="55354F28" w14:textId="2DE4B80E" w:rsidR="00D568B2" w:rsidRPr="00D568B2" w:rsidRDefault="00953C30" w:rsidP="009E5170">
            <w:pPr>
              <w:contextualSpacing/>
              <w:jc w:val="center"/>
              <w:rPr>
                <w:rFonts w:cs="Arial"/>
                <w:color w:val="000000" w:themeColor="text1"/>
                <w:szCs w:val="18"/>
              </w:rPr>
            </w:pPr>
            <w:r>
              <w:rPr>
                <w:rFonts w:cs="Arial"/>
                <w:color w:val="000000" w:themeColor="text1"/>
                <w:szCs w:val="18"/>
              </w:rPr>
              <w:t>Olive v</w:t>
            </w:r>
            <w:r w:rsidR="00D568B2" w:rsidRPr="00D568B2">
              <w:rPr>
                <w:rFonts w:cs="Arial"/>
                <w:color w:val="000000" w:themeColor="text1"/>
                <w:szCs w:val="18"/>
              </w:rPr>
              <w:t>ariety</w:t>
            </w:r>
          </w:p>
        </w:tc>
        <w:tc>
          <w:tcPr>
            <w:tcW w:w="1042" w:type="pct"/>
            <w:tcBorders>
              <w:top w:val="single" w:sz="12" w:space="0" w:color="008000"/>
              <w:left w:val="nil"/>
              <w:bottom w:val="nil"/>
              <w:right w:val="nil"/>
            </w:tcBorders>
          </w:tcPr>
          <w:p w14:paraId="792A8BAB" w14:textId="77777777" w:rsidR="00D568B2" w:rsidRPr="00D568B2" w:rsidRDefault="00D568B2" w:rsidP="00D568B2">
            <w:pPr>
              <w:spacing w:line="240" w:lineRule="auto"/>
              <w:contextualSpacing/>
              <w:jc w:val="center"/>
              <w:rPr>
                <w:rFonts w:cs="Arial"/>
                <w:color w:val="000000" w:themeColor="text1"/>
                <w:szCs w:val="18"/>
              </w:rPr>
            </w:pPr>
            <w:r w:rsidRPr="00D568B2">
              <w:rPr>
                <w:rFonts w:cs="Arial"/>
                <w:color w:val="000000" w:themeColor="text1"/>
                <w:szCs w:val="18"/>
              </w:rPr>
              <w:t>Test</w:t>
            </w:r>
          </w:p>
        </w:tc>
        <w:tc>
          <w:tcPr>
            <w:tcW w:w="1875" w:type="pct"/>
            <w:gridSpan w:val="2"/>
            <w:tcBorders>
              <w:top w:val="single" w:sz="12" w:space="0" w:color="008000"/>
              <w:left w:val="nil"/>
              <w:bottom w:val="nil"/>
              <w:right w:val="nil"/>
            </w:tcBorders>
          </w:tcPr>
          <w:p w14:paraId="703D0CAA" w14:textId="77777777" w:rsidR="00D568B2" w:rsidRPr="00D568B2" w:rsidRDefault="00D568B2" w:rsidP="009E5170">
            <w:pPr>
              <w:spacing w:line="240" w:lineRule="auto"/>
              <w:jc w:val="center"/>
              <w:rPr>
                <w:rFonts w:cs="Arial"/>
                <w:bCs w:val="0"/>
                <w:color w:val="000000" w:themeColor="text1"/>
                <w:szCs w:val="18"/>
              </w:rPr>
            </w:pPr>
            <w:r w:rsidRPr="00D568B2">
              <w:rPr>
                <w:rFonts w:cs="Arial"/>
                <w:color w:val="000000" w:themeColor="text1"/>
                <w:szCs w:val="18"/>
              </w:rPr>
              <w:t>Pomace</w:t>
            </w:r>
          </w:p>
        </w:tc>
        <w:tc>
          <w:tcPr>
            <w:tcW w:w="1041" w:type="pct"/>
            <w:tcBorders>
              <w:top w:val="single" w:sz="12" w:space="0" w:color="008000"/>
              <w:left w:val="nil"/>
              <w:bottom w:val="nil"/>
            </w:tcBorders>
          </w:tcPr>
          <w:p w14:paraId="711BC52C" w14:textId="77777777" w:rsidR="00D568B2" w:rsidRPr="00D568B2" w:rsidRDefault="00D568B2" w:rsidP="009E5170">
            <w:pPr>
              <w:spacing w:line="240" w:lineRule="auto"/>
              <w:jc w:val="center"/>
              <w:rPr>
                <w:rFonts w:cs="Arial"/>
                <w:bCs w:val="0"/>
                <w:color w:val="000000" w:themeColor="text1"/>
                <w:szCs w:val="18"/>
              </w:rPr>
            </w:pPr>
            <w:r w:rsidRPr="00D568B2">
              <w:rPr>
                <w:rFonts w:cs="Arial"/>
                <w:color w:val="000000" w:themeColor="text1"/>
                <w:szCs w:val="18"/>
              </w:rPr>
              <w:t>Extractability</w:t>
            </w:r>
          </w:p>
        </w:tc>
      </w:tr>
      <w:tr w:rsidR="00D568B2" w:rsidRPr="00D568B2" w14:paraId="00815FA3" w14:textId="77777777" w:rsidTr="00FF1491">
        <w:tc>
          <w:tcPr>
            <w:tcW w:w="1042" w:type="pct"/>
            <w:tcBorders>
              <w:top w:val="nil"/>
              <w:bottom w:val="single" w:sz="8" w:space="0" w:color="008000"/>
              <w:right w:val="nil"/>
            </w:tcBorders>
          </w:tcPr>
          <w:p w14:paraId="24966176" w14:textId="77777777" w:rsidR="00D568B2" w:rsidRPr="00D568B2" w:rsidRDefault="00D568B2" w:rsidP="00FF1491">
            <w:pPr>
              <w:rPr>
                <w:rFonts w:eastAsia="Calibri" w:cs="Arial"/>
                <w:b/>
                <w:color w:val="000000" w:themeColor="text1"/>
                <w:szCs w:val="18"/>
              </w:rPr>
            </w:pPr>
          </w:p>
        </w:tc>
        <w:tc>
          <w:tcPr>
            <w:tcW w:w="1042" w:type="pct"/>
            <w:tcBorders>
              <w:top w:val="nil"/>
              <w:left w:val="nil"/>
              <w:bottom w:val="single" w:sz="8" w:space="0" w:color="008000"/>
              <w:right w:val="nil"/>
            </w:tcBorders>
          </w:tcPr>
          <w:p w14:paraId="3825B5BF" w14:textId="77777777" w:rsidR="00D568B2" w:rsidRPr="00D568B2" w:rsidRDefault="00D568B2" w:rsidP="009E5170">
            <w:pPr>
              <w:jc w:val="center"/>
              <w:rPr>
                <w:rFonts w:eastAsia="Calibri" w:cs="Arial"/>
                <w:b/>
                <w:color w:val="000000" w:themeColor="text1"/>
                <w:szCs w:val="18"/>
              </w:rPr>
            </w:pPr>
          </w:p>
          <w:p w14:paraId="19BA3DFA" w14:textId="77777777" w:rsidR="00D568B2" w:rsidRPr="00D568B2" w:rsidRDefault="00D568B2" w:rsidP="009E5170">
            <w:pPr>
              <w:jc w:val="center"/>
              <w:rPr>
                <w:rFonts w:eastAsia="Calibri" w:cs="Arial"/>
                <w:b/>
                <w:color w:val="000000" w:themeColor="text1"/>
                <w:szCs w:val="18"/>
              </w:rPr>
            </w:pPr>
          </w:p>
        </w:tc>
        <w:tc>
          <w:tcPr>
            <w:tcW w:w="938" w:type="pct"/>
            <w:tcBorders>
              <w:top w:val="nil"/>
              <w:left w:val="nil"/>
              <w:bottom w:val="single" w:sz="8" w:space="0" w:color="008000"/>
              <w:right w:val="nil"/>
            </w:tcBorders>
          </w:tcPr>
          <w:p w14:paraId="18E84E47" w14:textId="77777777" w:rsidR="00D568B2" w:rsidRPr="00D568B2" w:rsidRDefault="00D568B2" w:rsidP="009E5170">
            <w:pPr>
              <w:jc w:val="center"/>
              <w:rPr>
                <w:rFonts w:eastAsia="Calibri" w:cs="Arial"/>
                <w:b/>
                <w:color w:val="000000" w:themeColor="text1"/>
                <w:szCs w:val="18"/>
              </w:rPr>
            </w:pPr>
            <w:r w:rsidRPr="00D568B2">
              <w:rPr>
                <w:rFonts w:eastAsia="Calibri" w:cs="Arial"/>
                <w:b/>
                <w:color w:val="000000" w:themeColor="text1"/>
                <w:szCs w:val="18"/>
              </w:rPr>
              <w:t xml:space="preserve">Moisture </w:t>
            </w:r>
          </w:p>
          <w:p w14:paraId="230FC4F3" w14:textId="77777777" w:rsidR="00D568B2" w:rsidRPr="00D568B2" w:rsidRDefault="00D568B2" w:rsidP="009E5170">
            <w:pPr>
              <w:jc w:val="center"/>
              <w:rPr>
                <w:rFonts w:eastAsia="Calibri" w:cs="Arial"/>
                <w:b/>
                <w:color w:val="000000" w:themeColor="text1"/>
                <w:szCs w:val="18"/>
              </w:rPr>
            </w:pPr>
            <w:r w:rsidRPr="00D568B2">
              <w:rPr>
                <w:rFonts w:eastAsia="Calibri" w:cs="Arial"/>
                <w:b/>
                <w:color w:val="000000" w:themeColor="text1"/>
                <w:szCs w:val="18"/>
              </w:rPr>
              <w:t>(%)</w:t>
            </w:r>
          </w:p>
        </w:tc>
        <w:tc>
          <w:tcPr>
            <w:tcW w:w="937" w:type="pct"/>
            <w:tcBorders>
              <w:top w:val="nil"/>
              <w:left w:val="nil"/>
              <w:bottom w:val="single" w:sz="8" w:space="0" w:color="008000"/>
              <w:right w:val="nil"/>
            </w:tcBorders>
          </w:tcPr>
          <w:p w14:paraId="2F0358DF" w14:textId="77777777" w:rsidR="00D568B2" w:rsidRPr="00D568B2" w:rsidRDefault="00D568B2" w:rsidP="009E5170">
            <w:pPr>
              <w:jc w:val="center"/>
              <w:rPr>
                <w:rFonts w:eastAsia="Calibri" w:cs="Arial"/>
                <w:b/>
                <w:color w:val="000000" w:themeColor="text1"/>
                <w:szCs w:val="18"/>
              </w:rPr>
            </w:pPr>
            <w:r w:rsidRPr="00D568B2">
              <w:rPr>
                <w:rFonts w:eastAsia="Calibri" w:cs="Arial"/>
                <w:b/>
                <w:color w:val="000000" w:themeColor="text1"/>
                <w:szCs w:val="18"/>
              </w:rPr>
              <w:t xml:space="preserve">Oil </w:t>
            </w:r>
          </w:p>
          <w:p w14:paraId="2E753E80" w14:textId="77777777" w:rsidR="00D568B2" w:rsidRPr="00D568B2" w:rsidRDefault="00D568B2" w:rsidP="009E5170">
            <w:pPr>
              <w:jc w:val="center"/>
              <w:rPr>
                <w:rFonts w:eastAsia="Calibri" w:cs="Arial"/>
                <w:b/>
                <w:color w:val="000000" w:themeColor="text1"/>
                <w:szCs w:val="18"/>
              </w:rPr>
            </w:pPr>
            <w:r w:rsidRPr="00D568B2">
              <w:rPr>
                <w:rFonts w:eastAsia="Calibri" w:cs="Arial"/>
                <w:b/>
                <w:color w:val="000000" w:themeColor="text1"/>
                <w:szCs w:val="18"/>
              </w:rPr>
              <w:t>(%. db)</w:t>
            </w:r>
          </w:p>
        </w:tc>
        <w:tc>
          <w:tcPr>
            <w:tcW w:w="1041" w:type="pct"/>
            <w:tcBorders>
              <w:top w:val="nil"/>
              <w:left w:val="nil"/>
              <w:bottom w:val="single" w:sz="8" w:space="0" w:color="008000"/>
            </w:tcBorders>
          </w:tcPr>
          <w:p w14:paraId="62EB8605" w14:textId="77777777" w:rsidR="00D568B2" w:rsidRPr="00D568B2" w:rsidRDefault="00D568B2" w:rsidP="009E5170">
            <w:pPr>
              <w:jc w:val="center"/>
              <w:rPr>
                <w:rFonts w:eastAsia="Calibri" w:cs="Arial"/>
                <w:b/>
                <w:color w:val="000000" w:themeColor="text1"/>
                <w:szCs w:val="18"/>
              </w:rPr>
            </w:pPr>
            <w:r w:rsidRPr="00D568B2">
              <w:rPr>
                <w:rFonts w:eastAsia="Calibri" w:cs="Arial"/>
                <w:b/>
                <w:color w:val="000000" w:themeColor="text1"/>
                <w:szCs w:val="18"/>
              </w:rPr>
              <w:t>(%)</w:t>
            </w:r>
          </w:p>
        </w:tc>
      </w:tr>
      <w:tr w:rsidR="00D568B2" w:rsidRPr="00D568B2" w14:paraId="36184882" w14:textId="77777777" w:rsidTr="00FF1491">
        <w:trPr>
          <w:trHeight w:val="170"/>
        </w:trPr>
        <w:tc>
          <w:tcPr>
            <w:tcW w:w="1042" w:type="pct"/>
            <w:tcBorders>
              <w:top w:val="single" w:sz="8" w:space="0" w:color="008000"/>
              <w:bottom w:val="nil"/>
              <w:right w:val="nil"/>
            </w:tcBorders>
          </w:tcPr>
          <w:p w14:paraId="7E3EA051" w14:textId="77777777" w:rsidR="00D568B2" w:rsidRPr="00D568B2" w:rsidRDefault="00D568B2" w:rsidP="009E5170">
            <w:pPr>
              <w:contextualSpacing/>
              <w:jc w:val="center"/>
              <w:rPr>
                <w:rFonts w:cs="Arial"/>
                <w:bCs/>
                <w:color w:val="000000" w:themeColor="text1"/>
                <w:szCs w:val="18"/>
              </w:rPr>
            </w:pPr>
          </w:p>
        </w:tc>
        <w:tc>
          <w:tcPr>
            <w:tcW w:w="1042" w:type="pct"/>
            <w:tcBorders>
              <w:top w:val="single" w:sz="8" w:space="0" w:color="008000"/>
              <w:left w:val="nil"/>
              <w:bottom w:val="nil"/>
              <w:right w:val="nil"/>
            </w:tcBorders>
            <w:vAlign w:val="center"/>
          </w:tcPr>
          <w:p w14:paraId="439934CB" w14:textId="77777777" w:rsidR="00D568B2" w:rsidRPr="00D568B2" w:rsidRDefault="00D568B2" w:rsidP="009E5170">
            <w:pPr>
              <w:spacing w:line="240" w:lineRule="auto"/>
              <w:contextualSpacing/>
              <w:jc w:val="center"/>
              <w:rPr>
                <w:rFonts w:cs="Arial"/>
                <w:bCs/>
                <w:color w:val="000000" w:themeColor="text1"/>
                <w:szCs w:val="18"/>
              </w:rPr>
            </w:pPr>
            <w:r w:rsidRPr="00D568B2">
              <w:rPr>
                <w:rFonts w:cs="Arial"/>
                <w:bCs/>
                <w:color w:val="000000" w:themeColor="text1"/>
                <w:szCs w:val="18"/>
              </w:rPr>
              <w:t>CONTROL</w:t>
            </w:r>
          </w:p>
        </w:tc>
        <w:tc>
          <w:tcPr>
            <w:tcW w:w="938" w:type="pct"/>
            <w:tcBorders>
              <w:top w:val="single" w:sz="8" w:space="0" w:color="008000"/>
              <w:left w:val="nil"/>
              <w:bottom w:val="nil"/>
              <w:right w:val="nil"/>
            </w:tcBorders>
            <w:vAlign w:val="center"/>
          </w:tcPr>
          <w:p w14:paraId="678B2E61" w14:textId="77777777" w:rsidR="00D568B2" w:rsidRPr="00D568B2" w:rsidRDefault="00D568B2" w:rsidP="009E5170">
            <w:pPr>
              <w:spacing w:line="240" w:lineRule="auto"/>
              <w:contextualSpacing/>
              <w:jc w:val="center"/>
              <w:rPr>
                <w:rFonts w:cs="Arial"/>
                <w:bCs/>
                <w:i/>
                <w:iCs/>
                <w:color w:val="000000" w:themeColor="text1"/>
                <w:szCs w:val="18"/>
              </w:rPr>
            </w:pPr>
            <w:r w:rsidRPr="00D568B2">
              <w:rPr>
                <w:rFonts w:cs="Arial"/>
                <w:bCs/>
                <w:color w:val="000000" w:themeColor="text1"/>
                <w:szCs w:val="18"/>
              </w:rPr>
              <w:t>64.16</w:t>
            </w:r>
            <w:r w:rsidRPr="00D568B2">
              <w:rPr>
                <w:rFonts w:eastAsia="MS Gothic" w:cs="Arial"/>
                <w:color w:val="000000" w:themeColor="text1"/>
                <w:szCs w:val="18"/>
              </w:rPr>
              <w:t>±</w:t>
            </w:r>
            <w:r w:rsidRPr="00D568B2">
              <w:rPr>
                <w:rFonts w:cs="Arial"/>
                <w:color w:val="000000" w:themeColor="text1"/>
                <w:szCs w:val="18"/>
              </w:rPr>
              <w:t xml:space="preserve">1.05 </w:t>
            </w:r>
            <w:r w:rsidRPr="00D568B2">
              <w:rPr>
                <w:rFonts w:cs="Arial"/>
                <w:i/>
                <w:iCs/>
                <w:color w:val="000000" w:themeColor="text1"/>
                <w:szCs w:val="18"/>
              </w:rPr>
              <w:t>a</w:t>
            </w:r>
          </w:p>
        </w:tc>
        <w:tc>
          <w:tcPr>
            <w:tcW w:w="937" w:type="pct"/>
            <w:tcBorders>
              <w:top w:val="single" w:sz="8" w:space="0" w:color="008000"/>
              <w:left w:val="nil"/>
              <w:bottom w:val="nil"/>
              <w:right w:val="nil"/>
            </w:tcBorders>
            <w:vAlign w:val="center"/>
          </w:tcPr>
          <w:p w14:paraId="617F28E3" w14:textId="77777777" w:rsidR="00D568B2" w:rsidRPr="00D568B2" w:rsidRDefault="00D568B2" w:rsidP="009E5170">
            <w:pPr>
              <w:spacing w:line="240" w:lineRule="auto"/>
              <w:contextualSpacing/>
              <w:jc w:val="center"/>
              <w:rPr>
                <w:rFonts w:cs="Arial"/>
                <w:bCs/>
                <w:i/>
                <w:iCs/>
                <w:color w:val="000000" w:themeColor="text1"/>
                <w:szCs w:val="18"/>
              </w:rPr>
            </w:pPr>
            <w:r w:rsidRPr="00D568B2">
              <w:rPr>
                <w:rFonts w:cs="Arial"/>
                <w:bCs/>
                <w:color w:val="000000" w:themeColor="text1"/>
                <w:szCs w:val="18"/>
              </w:rPr>
              <w:t>9.43</w:t>
            </w:r>
            <w:r w:rsidRPr="00D568B2">
              <w:rPr>
                <w:rFonts w:eastAsia="MS Gothic" w:cs="Arial"/>
                <w:color w:val="000000" w:themeColor="text1"/>
                <w:szCs w:val="18"/>
              </w:rPr>
              <w:t>±</w:t>
            </w:r>
            <w:r w:rsidRPr="00D568B2">
              <w:rPr>
                <w:rFonts w:cs="Arial"/>
                <w:color w:val="000000" w:themeColor="text1"/>
                <w:szCs w:val="18"/>
              </w:rPr>
              <w:t xml:space="preserve">0.76 </w:t>
            </w:r>
            <w:r w:rsidRPr="00D568B2">
              <w:rPr>
                <w:rFonts w:cs="Arial"/>
                <w:i/>
                <w:iCs/>
                <w:color w:val="000000" w:themeColor="text1"/>
                <w:szCs w:val="18"/>
              </w:rPr>
              <w:t>a</w:t>
            </w:r>
          </w:p>
        </w:tc>
        <w:tc>
          <w:tcPr>
            <w:tcW w:w="1041" w:type="pct"/>
            <w:tcBorders>
              <w:top w:val="single" w:sz="8" w:space="0" w:color="008000"/>
              <w:left w:val="nil"/>
              <w:bottom w:val="nil"/>
            </w:tcBorders>
            <w:vAlign w:val="center"/>
          </w:tcPr>
          <w:p w14:paraId="66506AA6" w14:textId="77777777" w:rsidR="00D568B2" w:rsidRPr="00D568B2" w:rsidRDefault="00D568B2" w:rsidP="009E5170">
            <w:pPr>
              <w:spacing w:line="240" w:lineRule="auto"/>
              <w:contextualSpacing/>
              <w:jc w:val="center"/>
              <w:rPr>
                <w:rFonts w:cs="Arial"/>
                <w:bCs/>
                <w:i/>
                <w:iCs/>
                <w:color w:val="000000" w:themeColor="text1"/>
                <w:szCs w:val="18"/>
              </w:rPr>
            </w:pPr>
            <w:r w:rsidRPr="00D568B2">
              <w:rPr>
                <w:rFonts w:cs="Arial"/>
                <w:bCs/>
                <w:color w:val="000000" w:themeColor="text1"/>
                <w:szCs w:val="18"/>
              </w:rPr>
              <w:t>82.02</w:t>
            </w:r>
            <w:r w:rsidRPr="00D568B2">
              <w:rPr>
                <w:rFonts w:eastAsia="MS Gothic" w:cs="Arial"/>
                <w:color w:val="000000" w:themeColor="text1"/>
                <w:szCs w:val="18"/>
              </w:rPr>
              <w:t>±0.</w:t>
            </w:r>
            <w:r w:rsidRPr="00D568B2">
              <w:rPr>
                <w:rFonts w:cs="Arial"/>
                <w:color w:val="000000" w:themeColor="text1"/>
                <w:szCs w:val="18"/>
              </w:rPr>
              <w:t xml:space="preserve">54 </w:t>
            </w:r>
            <w:r w:rsidRPr="00D568B2">
              <w:rPr>
                <w:rFonts w:cs="Arial"/>
                <w:i/>
                <w:iCs/>
                <w:color w:val="000000" w:themeColor="text1"/>
                <w:szCs w:val="18"/>
              </w:rPr>
              <w:t>b</w:t>
            </w:r>
          </w:p>
        </w:tc>
      </w:tr>
      <w:tr w:rsidR="00D568B2" w:rsidRPr="00D568B2" w14:paraId="34A7D158" w14:textId="77777777" w:rsidTr="00FF1491">
        <w:trPr>
          <w:trHeight w:val="170"/>
        </w:trPr>
        <w:tc>
          <w:tcPr>
            <w:tcW w:w="1042" w:type="pct"/>
            <w:tcBorders>
              <w:top w:val="nil"/>
              <w:bottom w:val="nil"/>
              <w:right w:val="nil"/>
            </w:tcBorders>
          </w:tcPr>
          <w:p w14:paraId="5CA273C6"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Frantoio</w:t>
            </w:r>
          </w:p>
        </w:tc>
        <w:tc>
          <w:tcPr>
            <w:tcW w:w="1042" w:type="pct"/>
            <w:tcBorders>
              <w:top w:val="nil"/>
              <w:left w:val="nil"/>
              <w:bottom w:val="nil"/>
              <w:right w:val="nil"/>
            </w:tcBorders>
            <w:vAlign w:val="center"/>
          </w:tcPr>
          <w:p w14:paraId="5F4056E2"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PEF 4.0</w:t>
            </w:r>
          </w:p>
        </w:tc>
        <w:tc>
          <w:tcPr>
            <w:tcW w:w="938" w:type="pct"/>
            <w:tcBorders>
              <w:top w:val="nil"/>
              <w:left w:val="nil"/>
              <w:bottom w:val="nil"/>
              <w:right w:val="nil"/>
            </w:tcBorders>
            <w:vAlign w:val="center"/>
          </w:tcPr>
          <w:p w14:paraId="425201C8"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63.95</w:t>
            </w:r>
            <w:r w:rsidRPr="00D568B2">
              <w:rPr>
                <w:rFonts w:eastAsia="MS Gothic" w:cs="Arial"/>
                <w:color w:val="000000" w:themeColor="text1"/>
                <w:szCs w:val="18"/>
              </w:rPr>
              <w:t>±</w:t>
            </w:r>
            <w:r w:rsidRPr="00D568B2">
              <w:rPr>
                <w:rFonts w:cs="Arial"/>
                <w:color w:val="000000" w:themeColor="text1"/>
                <w:szCs w:val="18"/>
              </w:rPr>
              <w:t xml:space="preserve">1.03 </w:t>
            </w:r>
            <w:r w:rsidRPr="00D568B2">
              <w:rPr>
                <w:rFonts w:cs="Arial"/>
                <w:i/>
                <w:iCs/>
                <w:color w:val="000000" w:themeColor="text1"/>
                <w:szCs w:val="18"/>
              </w:rPr>
              <w:t>a</w:t>
            </w:r>
          </w:p>
        </w:tc>
        <w:tc>
          <w:tcPr>
            <w:tcW w:w="937" w:type="pct"/>
            <w:tcBorders>
              <w:top w:val="nil"/>
              <w:left w:val="nil"/>
              <w:bottom w:val="nil"/>
              <w:right w:val="nil"/>
            </w:tcBorders>
            <w:vAlign w:val="center"/>
          </w:tcPr>
          <w:p w14:paraId="5F1B1BCA"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9.17</w:t>
            </w:r>
            <w:r w:rsidRPr="00D568B2">
              <w:rPr>
                <w:rFonts w:eastAsia="MS Gothic" w:cs="Arial"/>
                <w:color w:val="000000" w:themeColor="text1"/>
                <w:szCs w:val="18"/>
              </w:rPr>
              <w:t>±</w:t>
            </w:r>
            <w:r w:rsidRPr="00D568B2">
              <w:rPr>
                <w:rFonts w:cs="Arial"/>
                <w:color w:val="000000" w:themeColor="text1"/>
                <w:szCs w:val="18"/>
              </w:rPr>
              <w:t xml:space="preserve">0.48 </w:t>
            </w:r>
            <w:r w:rsidRPr="00D568B2">
              <w:rPr>
                <w:rFonts w:cs="Arial"/>
                <w:i/>
                <w:iCs/>
                <w:color w:val="000000" w:themeColor="text1"/>
                <w:szCs w:val="18"/>
              </w:rPr>
              <w:t>a</w:t>
            </w:r>
          </w:p>
        </w:tc>
        <w:tc>
          <w:tcPr>
            <w:tcW w:w="1041" w:type="pct"/>
            <w:tcBorders>
              <w:top w:val="nil"/>
              <w:left w:val="nil"/>
              <w:bottom w:val="nil"/>
            </w:tcBorders>
            <w:vAlign w:val="center"/>
          </w:tcPr>
          <w:p w14:paraId="2E05EED3"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82.30</w:t>
            </w:r>
            <w:r w:rsidRPr="00D568B2">
              <w:rPr>
                <w:rFonts w:eastAsia="MS Gothic" w:cs="Arial"/>
                <w:color w:val="000000" w:themeColor="text1"/>
                <w:szCs w:val="18"/>
              </w:rPr>
              <w:t>±0.</w:t>
            </w:r>
            <w:r w:rsidRPr="00D568B2">
              <w:rPr>
                <w:rFonts w:cs="Arial"/>
                <w:color w:val="000000" w:themeColor="text1"/>
                <w:szCs w:val="18"/>
              </w:rPr>
              <w:t xml:space="preserve">86 </w:t>
            </w:r>
            <w:r w:rsidRPr="00D568B2">
              <w:rPr>
                <w:rFonts w:cs="Arial"/>
                <w:i/>
                <w:iCs/>
                <w:color w:val="000000" w:themeColor="text1"/>
                <w:szCs w:val="18"/>
              </w:rPr>
              <w:t>b</w:t>
            </w:r>
          </w:p>
        </w:tc>
      </w:tr>
      <w:tr w:rsidR="00D568B2" w:rsidRPr="00D568B2" w14:paraId="79342081" w14:textId="77777777" w:rsidTr="00FF1491">
        <w:tc>
          <w:tcPr>
            <w:tcW w:w="1042" w:type="pct"/>
            <w:tcBorders>
              <w:top w:val="nil"/>
              <w:bottom w:val="single" w:sz="8" w:space="0" w:color="008000"/>
              <w:right w:val="nil"/>
            </w:tcBorders>
          </w:tcPr>
          <w:p w14:paraId="2516FBC1" w14:textId="77777777" w:rsidR="00D568B2" w:rsidRPr="00D568B2" w:rsidRDefault="00D568B2" w:rsidP="009E5170">
            <w:pPr>
              <w:contextualSpacing/>
              <w:jc w:val="center"/>
              <w:rPr>
                <w:rFonts w:cs="Arial"/>
                <w:bCs/>
                <w:color w:val="000000" w:themeColor="text1"/>
                <w:szCs w:val="18"/>
              </w:rPr>
            </w:pPr>
          </w:p>
        </w:tc>
        <w:tc>
          <w:tcPr>
            <w:tcW w:w="1042" w:type="pct"/>
            <w:tcBorders>
              <w:top w:val="nil"/>
              <w:left w:val="nil"/>
              <w:bottom w:val="single" w:sz="8" w:space="0" w:color="008000"/>
              <w:right w:val="nil"/>
            </w:tcBorders>
            <w:vAlign w:val="center"/>
          </w:tcPr>
          <w:p w14:paraId="7DC4EC55" w14:textId="77777777" w:rsidR="00D568B2" w:rsidRPr="00D568B2" w:rsidRDefault="00D568B2" w:rsidP="009E5170">
            <w:pPr>
              <w:contextualSpacing/>
              <w:jc w:val="center"/>
              <w:rPr>
                <w:rFonts w:cs="Arial"/>
                <w:color w:val="000000" w:themeColor="text1"/>
                <w:szCs w:val="18"/>
              </w:rPr>
            </w:pPr>
            <w:r w:rsidRPr="00D568B2">
              <w:rPr>
                <w:rFonts w:cs="Arial"/>
                <w:bCs/>
                <w:color w:val="000000" w:themeColor="text1"/>
                <w:szCs w:val="18"/>
              </w:rPr>
              <w:t>PEF 5.0</w:t>
            </w:r>
          </w:p>
        </w:tc>
        <w:tc>
          <w:tcPr>
            <w:tcW w:w="938" w:type="pct"/>
            <w:tcBorders>
              <w:top w:val="nil"/>
              <w:left w:val="nil"/>
              <w:bottom w:val="single" w:sz="8" w:space="0" w:color="008000"/>
              <w:right w:val="nil"/>
            </w:tcBorders>
            <w:vAlign w:val="center"/>
          </w:tcPr>
          <w:p w14:paraId="06AB7530" w14:textId="77777777" w:rsidR="00D568B2" w:rsidRPr="00D568B2" w:rsidRDefault="00D568B2" w:rsidP="009E5170">
            <w:pPr>
              <w:contextualSpacing/>
              <w:jc w:val="center"/>
              <w:rPr>
                <w:rFonts w:cs="Arial"/>
                <w:bCs/>
                <w:i/>
                <w:iCs/>
                <w:color w:val="000000" w:themeColor="text1"/>
                <w:szCs w:val="18"/>
              </w:rPr>
            </w:pPr>
            <w:r w:rsidRPr="00D568B2">
              <w:rPr>
                <w:rFonts w:cs="Arial"/>
                <w:bCs/>
                <w:color w:val="000000" w:themeColor="text1"/>
                <w:szCs w:val="18"/>
              </w:rPr>
              <w:t>63.34</w:t>
            </w:r>
            <w:r w:rsidRPr="00D568B2">
              <w:rPr>
                <w:rFonts w:eastAsia="MS Gothic" w:cs="Arial"/>
                <w:color w:val="000000" w:themeColor="text1"/>
                <w:szCs w:val="18"/>
              </w:rPr>
              <w:t>±</w:t>
            </w:r>
            <w:r w:rsidRPr="00D568B2">
              <w:rPr>
                <w:rFonts w:cs="Arial"/>
                <w:color w:val="000000" w:themeColor="text1"/>
                <w:szCs w:val="18"/>
              </w:rPr>
              <w:t xml:space="preserve">0.98 </w:t>
            </w:r>
            <w:r w:rsidRPr="00D568B2">
              <w:rPr>
                <w:rFonts w:cs="Arial"/>
                <w:i/>
                <w:iCs/>
                <w:color w:val="000000" w:themeColor="text1"/>
                <w:szCs w:val="18"/>
              </w:rPr>
              <w:t>a</w:t>
            </w:r>
          </w:p>
        </w:tc>
        <w:tc>
          <w:tcPr>
            <w:tcW w:w="937" w:type="pct"/>
            <w:tcBorders>
              <w:top w:val="nil"/>
              <w:left w:val="nil"/>
              <w:bottom w:val="single" w:sz="8" w:space="0" w:color="008000"/>
              <w:right w:val="nil"/>
            </w:tcBorders>
            <w:vAlign w:val="center"/>
          </w:tcPr>
          <w:p w14:paraId="7ABB7319" w14:textId="77777777" w:rsidR="00D568B2" w:rsidRPr="00D568B2" w:rsidRDefault="00D568B2" w:rsidP="009E5170">
            <w:pPr>
              <w:contextualSpacing/>
              <w:jc w:val="center"/>
              <w:rPr>
                <w:rFonts w:cs="Arial"/>
                <w:bCs/>
                <w:i/>
                <w:iCs/>
                <w:color w:val="000000" w:themeColor="text1"/>
                <w:szCs w:val="18"/>
              </w:rPr>
            </w:pPr>
            <w:r w:rsidRPr="00D568B2">
              <w:rPr>
                <w:rFonts w:cs="Arial"/>
                <w:bCs/>
                <w:color w:val="000000" w:themeColor="text1"/>
                <w:szCs w:val="18"/>
              </w:rPr>
              <w:t>7.02</w:t>
            </w:r>
            <w:r w:rsidRPr="00D568B2">
              <w:rPr>
                <w:rFonts w:eastAsia="MS Gothic" w:cs="Arial"/>
                <w:color w:val="000000" w:themeColor="text1"/>
                <w:szCs w:val="18"/>
              </w:rPr>
              <w:t>±</w:t>
            </w:r>
            <w:r w:rsidRPr="00D568B2">
              <w:rPr>
                <w:rFonts w:cs="Arial"/>
                <w:color w:val="000000" w:themeColor="text1"/>
                <w:szCs w:val="18"/>
              </w:rPr>
              <w:t xml:space="preserve">0.20 </w:t>
            </w:r>
            <w:r w:rsidRPr="00D568B2">
              <w:rPr>
                <w:rFonts w:cs="Arial"/>
                <w:i/>
                <w:iCs/>
                <w:color w:val="000000" w:themeColor="text1"/>
                <w:szCs w:val="18"/>
              </w:rPr>
              <w:t>b</w:t>
            </w:r>
          </w:p>
        </w:tc>
        <w:tc>
          <w:tcPr>
            <w:tcW w:w="1041" w:type="pct"/>
            <w:tcBorders>
              <w:top w:val="nil"/>
              <w:left w:val="nil"/>
              <w:bottom w:val="single" w:sz="8" w:space="0" w:color="008000"/>
            </w:tcBorders>
            <w:vAlign w:val="center"/>
          </w:tcPr>
          <w:p w14:paraId="043B7CEC" w14:textId="77777777" w:rsidR="00D568B2" w:rsidRPr="00D568B2" w:rsidRDefault="00D568B2" w:rsidP="009E5170">
            <w:pPr>
              <w:contextualSpacing/>
              <w:jc w:val="center"/>
              <w:rPr>
                <w:rFonts w:cs="Arial"/>
                <w:bCs/>
                <w:i/>
                <w:iCs/>
                <w:color w:val="000000" w:themeColor="text1"/>
                <w:szCs w:val="18"/>
              </w:rPr>
            </w:pPr>
            <w:r w:rsidRPr="00D568B2">
              <w:rPr>
                <w:rFonts w:cs="Arial"/>
                <w:bCs/>
                <w:color w:val="000000" w:themeColor="text1"/>
                <w:szCs w:val="18"/>
              </w:rPr>
              <w:t>86.07</w:t>
            </w:r>
            <w:r w:rsidRPr="00D568B2">
              <w:rPr>
                <w:rFonts w:eastAsia="MS Gothic" w:cs="Arial"/>
                <w:color w:val="000000" w:themeColor="text1"/>
                <w:szCs w:val="18"/>
              </w:rPr>
              <w:t>±</w:t>
            </w:r>
            <w:r w:rsidRPr="00D568B2">
              <w:rPr>
                <w:rFonts w:cs="Arial"/>
                <w:color w:val="000000" w:themeColor="text1"/>
                <w:szCs w:val="18"/>
              </w:rPr>
              <w:t xml:space="preserve">0.30 </w:t>
            </w:r>
            <w:r w:rsidRPr="00D568B2">
              <w:rPr>
                <w:rFonts w:cs="Arial"/>
                <w:i/>
                <w:iCs/>
                <w:color w:val="000000" w:themeColor="text1"/>
                <w:szCs w:val="18"/>
              </w:rPr>
              <w:t>a</w:t>
            </w:r>
          </w:p>
        </w:tc>
      </w:tr>
      <w:tr w:rsidR="00D568B2" w:rsidRPr="00D568B2" w14:paraId="4386780E" w14:textId="77777777" w:rsidTr="00FF1491">
        <w:trPr>
          <w:trHeight w:val="170"/>
        </w:trPr>
        <w:tc>
          <w:tcPr>
            <w:tcW w:w="1042" w:type="pct"/>
            <w:tcBorders>
              <w:top w:val="single" w:sz="8" w:space="0" w:color="008000"/>
              <w:bottom w:val="nil"/>
              <w:right w:val="nil"/>
            </w:tcBorders>
          </w:tcPr>
          <w:p w14:paraId="5FCFEC99" w14:textId="77777777" w:rsidR="00D568B2" w:rsidRPr="00D568B2" w:rsidRDefault="00D568B2" w:rsidP="009E5170">
            <w:pPr>
              <w:contextualSpacing/>
              <w:jc w:val="center"/>
              <w:rPr>
                <w:rFonts w:cs="Arial"/>
                <w:bCs/>
                <w:color w:val="000000" w:themeColor="text1"/>
                <w:szCs w:val="18"/>
              </w:rPr>
            </w:pPr>
          </w:p>
        </w:tc>
        <w:tc>
          <w:tcPr>
            <w:tcW w:w="1042" w:type="pct"/>
            <w:tcBorders>
              <w:top w:val="single" w:sz="8" w:space="0" w:color="008000"/>
              <w:left w:val="nil"/>
              <w:bottom w:val="nil"/>
              <w:right w:val="nil"/>
            </w:tcBorders>
            <w:vAlign w:val="center"/>
          </w:tcPr>
          <w:p w14:paraId="46B48D9C" w14:textId="77777777" w:rsidR="00D568B2" w:rsidRPr="00D568B2" w:rsidRDefault="00D568B2" w:rsidP="009E5170">
            <w:pPr>
              <w:spacing w:line="240" w:lineRule="auto"/>
              <w:contextualSpacing/>
              <w:jc w:val="center"/>
              <w:rPr>
                <w:rFonts w:cs="Arial"/>
                <w:bCs/>
                <w:color w:val="000000" w:themeColor="text1"/>
                <w:szCs w:val="18"/>
              </w:rPr>
            </w:pPr>
            <w:r w:rsidRPr="00D568B2">
              <w:rPr>
                <w:rFonts w:cs="Arial"/>
                <w:bCs/>
                <w:color w:val="000000" w:themeColor="text1"/>
                <w:szCs w:val="18"/>
              </w:rPr>
              <w:t>CONTROL</w:t>
            </w:r>
          </w:p>
        </w:tc>
        <w:tc>
          <w:tcPr>
            <w:tcW w:w="938" w:type="pct"/>
            <w:tcBorders>
              <w:top w:val="single" w:sz="8" w:space="0" w:color="008000"/>
              <w:left w:val="nil"/>
              <w:bottom w:val="nil"/>
              <w:right w:val="nil"/>
            </w:tcBorders>
            <w:vAlign w:val="center"/>
          </w:tcPr>
          <w:p w14:paraId="17A98652" w14:textId="77777777" w:rsidR="00D568B2" w:rsidRPr="00D568B2" w:rsidRDefault="00D568B2" w:rsidP="009E5170">
            <w:pPr>
              <w:spacing w:line="240" w:lineRule="auto"/>
              <w:contextualSpacing/>
              <w:jc w:val="center"/>
              <w:rPr>
                <w:rFonts w:cs="Arial"/>
                <w:bCs/>
                <w:i/>
                <w:iCs/>
                <w:color w:val="000000" w:themeColor="text1"/>
                <w:szCs w:val="18"/>
              </w:rPr>
            </w:pPr>
            <w:r w:rsidRPr="00D568B2">
              <w:rPr>
                <w:rFonts w:cs="Arial"/>
                <w:bCs/>
                <w:color w:val="000000" w:themeColor="text1"/>
                <w:szCs w:val="18"/>
              </w:rPr>
              <w:t>68.28</w:t>
            </w:r>
            <w:r w:rsidRPr="00D568B2">
              <w:rPr>
                <w:rFonts w:eastAsia="MS Gothic" w:cs="Arial"/>
                <w:color w:val="000000" w:themeColor="text1"/>
                <w:szCs w:val="18"/>
              </w:rPr>
              <w:t>±</w:t>
            </w:r>
            <w:r w:rsidRPr="00D568B2">
              <w:rPr>
                <w:rFonts w:cs="Arial"/>
                <w:color w:val="000000" w:themeColor="text1"/>
                <w:szCs w:val="18"/>
              </w:rPr>
              <w:t xml:space="preserve">1.87 </w:t>
            </w:r>
            <w:r w:rsidRPr="00D568B2">
              <w:rPr>
                <w:rFonts w:cs="Arial"/>
                <w:i/>
                <w:iCs/>
                <w:color w:val="000000" w:themeColor="text1"/>
                <w:szCs w:val="18"/>
              </w:rPr>
              <w:t>a</w:t>
            </w:r>
          </w:p>
        </w:tc>
        <w:tc>
          <w:tcPr>
            <w:tcW w:w="937" w:type="pct"/>
            <w:tcBorders>
              <w:top w:val="single" w:sz="8" w:space="0" w:color="008000"/>
              <w:left w:val="nil"/>
              <w:bottom w:val="nil"/>
              <w:right w:val="nil"/>
            </w:tcBorders>
            <w:vAlign w:val="center"/>
          </w:tcPr>
          <w:p w14:paraId="5D92B9CD" w14:textId="77777777" w:rsidR="00D568B2" w:rsidRPr="00D568B2" w:rsidRDefault="00D568B2" w:rsidP="009E5170">
            <w:pPr>
              <w:spacing w:line="240" w:lineRule="auto"/>
              <w:contextualSpacing/>
              <w:jc w:val="center"/>
              <w:rPr>
                <w:rFonts w:cs="Arial"/>
                <w:bCs/>
                <w:i/>
                <w:iCs/>
                <w:color w:val="000000" w:themeColor="text1"/>
                <w:szCs w:val="18"/>
              </w:rPr>
            </w:pPr>
            <w:r w:rsidRPr="00D568B2">
              <w:rPr>
                <w:rFonts w:cs="Arial"/>
                <w:bCs/>
                <w:color w:val="000000" w:themeColor="text1"/>
                <w:szCs w:val="18"/>
              </w:rPr>
              <w:t>12.71</w:t>
            </w:r>
            <w:r w:rsidRPr="00D568B2">
              <w:rPr>
                <w:rFonts w:eastAsia="MS Gothic" w:cs="Arial"/>
                <w:color w:val="000000" w:themeColor="text1"/>
                <w:szCs w:val="18"/>
              </w:rPr>
              <w:t>±</w:t>
            </w:r>
            <w:r w:rsidRPr="00D568B2">
              <w:rPr>
                <w:rFonts w:cs="Arial"/>
                <w:color w:val="000000" w:themeColor="text1"/>
                <w:szCs w:val="18"/>
              </w:rPr>
              <w:t xml:space="preserve">0.60 </w:t>
            </w:r>
            <w:r w:rsidRPr="00D568B2">
              <w:rPr>
                <w:rFonts w:cs="Arial"/>
                <w:i/>
                <w:iCs/>
                <w:color w:val="000000" w:themeColor="text1"/>
                <w:szCs w:val="18"/>
              </w:rPr>
              <w:t>a</w:t>
            </w:r>
          </w:p>
        </w:tc>
        <w:tc>
          <w:tcPr>
            <w:tcW w:w="1041" w:type="pct"/>
            <w:tcBorders>
              <w:top w:val="single" w:sz="8" w:space="0" w:color="008000"/>
              <w:left w:val="nil"/>
              <w:bottom w:val="nil"/>
            </w:tcBorders>
            <w:vAlign w:val="center"/>
          </w:tcPr>
          <w:p w14:paraId="60EEC849" w14:textId="77777777" w:rsidR="00D568B2" w:rsidRPr="00D568B2" w:rsidRDefault="00D568B2" w:rsidP="009E5170">
            <w:pPr>
              <w:spacing w:line="240" w:lineRule="auto"/>
              <w:contextualSpacing/>
              <w:jc w:val="center"/>
              <w:rPr>
                <w:rFonts w:cs="Arial"/>
                <w:bCs/>
                <w:i/>
                <w:iCs/>
                <w:color w:val="000000" w:themeColor="text1"/>
                <w:szCs w:val="18"/>
              </w:rPr>
            </w:pPr>
            <w:r w:rsidRPr="00D568B2">
              <w:rPr>
                <w:rFonts w:cs="Arial"/>
                <w:bCs/>
                <w:color w:val="000000" w:themeColor="text1"/>
                <w:szCs w:val="18"/>
              </w:rPr>
              <w:t>81.06</w:t>
            </w:r>
            <w:r w:rsidRPr="00D568B2">
              <w:rPr>
                <w:rFonts w:eastAsia="MS Gothic" w:cs="Arial"/>
                <w:color w:val="000000" w:themeColor="text1"/>
                <w:szCs w:val="18"/>
              </w:rPr>
              <w:t>±0.</w:t>
            </w:r>
            <w:r w:rsidRPr="00D568B2">
              <w:rPr>
                <w:rFonts w:cs="Arial"/>
                <w:color w:val="000000" w:themeColor="text1"/>
                <w:szCs w:val="18"/>
              </w:rPr>
              <w:t xml:space="preserve">51 </w:t>
            </w:r>
            <w:r w:rsidRPr="00D568B2">
              <w:rPr>
                <w:rFonts w:cs="Arial"/>
                <w:i/>
                <w:iCs/>
                <w:color w:val="000000" w:themeColor="text1"/>
                <w:szCs w:val="18"/>
              </w:rPr>
              <w:t>b</w:t>
            </w:r>
          </w:p>
        </w:tc>
      </w:tr>
      <w:tr w:rsidR="00D568B2" w:rsidRPr="00D568B2" w14:paraId="44D3FEF8" w14:textId="77777777" w:rsidTr="00FF1491">
        <w:trPr>
          <w:trHeight w:val="170"/>
        </w:trPr>
        <w:tc>
          <w:tcPr>
            <w:tcW w:w="1042" w:type="pct"/>
            <w:tcBorders>
              <w:top w:val="nil"/>
              <w:bottom w:val="nil"/>
              <w:right w:val="nil"/>
            </w:tcBorders>
          </w:tcPr>
          <w:p w14:paraId="18B87B45"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Leccino</w:t>
            </w:r>
          </w:p>
        </w:tc>
        <w:tc>
          <w:tcPr>
            <w:tcW w:w="1042" w:type="pct"/>
            <w:tcBorders>
              <w:top w:val="nil"/>
              <w:left w:val="nil"/>
              <w:bottom w:val="nil"/>
              <w:right w:val="nil"/>
            </w:tcBorders>
            <w:vAlign w:val="center"/>
          </w:tcPr>
          <w:p w14:paraId="785DB2CC"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PEF 4.0</w:t>
            </w:r>
          </w:p>
        </w:tc>
        <w:tc>
          <w:tcPr>
            <w:tcW w:w="938" w:type="pct"/>
            <w:tcBorders>
              <w:top w:val="nil"/>
              <w:left w:val="nil"/>
              <w:bottom w:val="nil"/>
              <w:right w:val="nil"/>
            </w:tcBorders>
            <w:vAlign w:val="center"/>
          </w:tcPr>
          <w:p w14:paraId="3DA126CF"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68.33</w:t>
            </w:r>
            <w:r w:rsidRPr="00D568B2">
              <w:rPr>
                <w:rFonts w:eastAsia="MS Gothic" w:cs="Arial"/>
                <w:color w:val="000000" w:themeColor="text1"/>
                <w:szCs w:val="18"/>
              </w:rPr>
              <w:t>±</w:t>
            </w:r>
            <w:r w:rsidRPr="00D568B2">
              <w:rPr>
                <w:rFonts w:cs="Arial"/>
                <w:color w:val="000000" w:themeColor="text1"/>
                <w:szCs w:val="18"/>
              </w:rPr>
              <w:t xml:space="preserve">1.90 </w:t>
            </w:r>
            <w:r w:rsidRPr="00D568B2">
              <w:rPr>
                <w:rFonts w:cs="Arial"/>
                <w:i/>
                <w:iCs/>
                <w:color w:val="000000" w:themeColor="text1"/>
                <w:szCs w:val="18"/>
              </w:rPr>
              <w:t>a</w:t>
            </w:r>
          </w:p>
        </w:tc>
        <w:tc>
          <w:tcPr>
            <w:tcW w:w="937" w:type="pct"/>
            <w:tcBorders>
              <w:top w:val="nil"/>
              <w:left w:val="nil"/>
              <w:bottom w:val="nil"/>
              <w:right w:val="nil"/>
            </w:tcBorders>
            <w:vAlign w:val="center"/>
          </w:tcPr>
          <w:p w14:paraId="6A5A9FD9"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13.67</w:t>
            </w:r>
            <w:r w:rsidRPr="00D568B2">
              <w:rPr>
                <w:rFonts w:eastAsia="MS Gothic" w:cs="Arial"/>
                <w:color w:val="000000" w:themeColor="text1"/>
                <w:szCs w:val="18"/>
              </w:rPr>
              <w:t>±</w:t>
            </w:r>
            <w:r w:rsidRPr="00D568B2">
              <w:rPr>
                <w:rFonts w:cs="Arial"/>
                <w:color w:val="000000" w:themeColor="text1"/>
                <w:szCs w:val="18"/>
              </w:rPr>
              <w:t xml:space="preserve">1.08 </w:t>
            </w:r>
            <w:r w:rsidRPr="00D568B2">
              <w:rPr>
                <w:rFonts w:cs="Arial"/>
                <w:i/>
                <w:iCs/>
                <w:color w:val="000000" w:themeColor="text1"/>
                <w:szCs w:val="18"/>
              </w:rPr>
              <w:t>a</w:t>
            </w:r>
          </w:p>
        </w:tc>
        <w:tc>
          <w:tcPr>
            <w:tcW w:w="1041" w:type="pct"/>
            <w:tcBorders>
              <w:top w:val="nil"/>
              <w:left w:val="nil"/>
              <w:bottom w:val="nil"/>
            </w:tcBorders>
            <w:vAlign w:val="center"/>
          </w:tcPr>
          <w:p w14:paraId="31B34111" w14:textId="77777777" w:rsidR="00D568B2" w:rsidRPr="00D568B2" w:rsidRDefault="00D568B2" w:rsidP="009E5170">
            <w:pPr>
              <w:contextualSpacing/>
              <w:jc w:val="center"/>
              <w:rPr>
                <w:rFonts w:cs="Arial"/>
                <w:bCs/>
                <w:color w:val="000000" w:themeColor="text1"/>
                <w:szCs w:val="18"/>
              </w:rPr>
            </w:pPr>
            <w:r w:rsidRPr="00D568B2">
              <w:rPr>
                <w:rFonts w:cs="Arial"/>
                <w:bCs/>
                <w:color w:val="000000" w:themeColor="text1"/>
                <w:szCs w:val="18"/>
              </w:rPr>
              <w:t>80.12</w:t>
            </w:r>
            <w:r w:rsidRPr="00D568B2">
              <w:rPr>
                <w:rFonts w:eastAsia="MS Gothic" w:cs="Arial"/>
                <w:color w:val="000000" w:themeColor="text1"/>
                <w:szCs w:val="18"/>
              </w:rPr>
              <w:t>±1.</w:t>
            </w:r>
            <w:r w:rsidRPr="00D568B2">
              <w:rPr>
                <w:rFonts w:cs="Arial"/>
                <w:color w:val="000000" w:themeColor="text1"/>
                <w:szCs w:val="18"/>
              </w:rPr>
              <w:t xml:space="preserve">60 </w:t>
            </w:r>
            <w:r w:rsidRPr="00D568B2">
              <w:rPr>
                <w:rFonts w:cs="Arial"/>
                <w:i/>
                <w:iCs/>
                <w:color w:val="000000" w:themeColor="text1"/>
                <w:szCs w:val="18"/>
              </w:rPr>
              <w:t>b</w:t>
            </w:r>
          </w:p>
        </w:tc>
      </w:tr>
      <w:tr w:rsidR="00D568B2" w:rsidRPr="00D568B2" w14:paraId="4E3ADF3A" w14:textId="77777777" w:rsidTr="00FF1491">
        <w:tc>
          <w:tcPr>
            <w:tcW w:w="1042" w:type="pct"/>
            <w:tcBorders>
              <w:top w:val="nil"/>
              <w:bottom w:val="single" w:sz="12" w:space="0" w:color="008000"/>
              <w:right w:val="nil"/>
            </w:tcBorders>
          </w:tcPr>
          <w:p w14:paraId="13E9491D" w14:textId="77777777" w:rsidR="00D568B2" w:rsidRPr="00D568B2" w:rsidRDefault="00D568B2" w:rsidP="009E5170">
            <w:pPr>
              <w:contextualSpacing/>
              <w:jc w:val="center"/>
              <w:rPr>
                <w:rFonts w:cs="Arial"/>
                <w:bCs/>
                <w:color w:val="000000" w:themeColor="text1"/>
                <w:szCs w:val="18"/>
              </w:rPr>
            </w:pPr>
          </w:p>
        </w:tc>
        <w:tc>
          <w:tcPr>
            <w:tcW w:w="1042" w:type="pct"/>
            <w:tcBorders>
              <w:top w:val="nil"/>
              <w:left w:val="nil"/>
              <w:bottom w:val="single" w:sz="12" w:space="0" w:color="008000"/>
              <w:right w:val="nil"/>
            </w:tcBorders>
            <w:vAlign w:val="center"/>
          </w:tcPr>
          <w:p w14:paraId="77A688EA" w14:textId="77777777" w:rsidR="00D568B2" w:rsidRPr="00D568B2" w:rsidRDefault="00D568B2" w:rsidP="009E5170">
            <w:pPr>
              <w:contextualSpacing/>
              <w:jc w:val="center"/>
              <w:rPr>
                <w:rFonts w:cs="Arial"/>
                <w:color w:val="000000" w:themeColor="text1"/>
                <w:szCs w:val="18"/>
              </w:rPr>
            </w:pPr>
            <w:r w:rsidRPr="00D568B2">
              <w:rPr>
                <w:rFonts w:cs="Arial"/>
                <w:bCs/>
                <w:color w:val="000000" w:themeColor="text1"/>
                <w:szCs w:val="18"/>
              </w:rPr>
              <w:t>PEF 5.0</w:t>
            </w:r>
          </w:p>
        </w:tc>
        <w:tc>
          <w:tcPr>
            <w:tcW w:w="938" w:type="pct"/>
            <w:tcBorders>
              <w:top w:val="nil"/>
              <w:left w:val="nil"/>
              <w:bottom w:val="single" w:sz="12" w:space="0" w:color="008000"/>
              <w:right w:val="nil"/>
            </w:tcBorders>
            <w:vAlign w:val="center"/>
          </w:tcPr>
          <w:p w14:paraId="4ADF7FBB" w14:textId="77777777" w:rsidR="00D568B2" w:rsidRPr="00D568B2" w:rsidRDefault="00D568B2" w:rsidP="009E5170">
            <w:pPr>
              <w:contextualSpacing/>
              <w:jc w:val="center"/>
              <w:rPr>
                <w:rFonts w:cs="Arial"/>
                <w:bCs/>
                <w:i/>
                <w:iCs/>
                <w:color w:val="000000" w:themeColor="text1"/>
                <w:szCs w:val="18"/>
              </w:rPr>
            </w:pPr>
            <w:r w:rsidRPr="00D568B2">
              <w:rPr>
                <w:rFonts w:cs="Arial"/>
                <w:bCs/>
                <w:color w:val="000000" w:themeColor="text1"/>
                <w:szCs w:val="18"/>
              </w:rPr>
              <w:t>69.76</w:t>
            </w:r>
            <w:r w:rsidRPr="00D568B2">
              <w:rPr>
                <w:rFonts w:eastAsia="MS Gothic" w:cs="Arial"/>
                <w:color w:val="000000" w:themeColor="text1"/>
                <w:szCs w:val="18"/>
              </w:rPr>
              <w:t>±</w:t>
            </w:r>
            <w:r w:rsidRPr="00D568B2">
              <w:rPr>
                <w:rFonts w:cs="Arial"/>
                <w:color w:val="000000" w:themeColor="text1"/>
                <w:szCs w:val="18"/>
              </w:rPr>
              <w:t xml:space="preserve">1.73 </w:t>
            </w:r>
            <w:r w:rsidRPr="00D568B2">
              <w:rPr>
                <w:rFonts w:cs="Arial"/>
                <w:i/>
                <w:iCs/>
                <w:color w:val="000000" w:themeColor="text1"/>
                <w:szCs w:val="18"/>
              </w:rPr>
              <w:t>a</w:t>
            </w:r>
          </w:p>
        </w:tc>
        <w:tc>
          <w:tcPr>
            <w:tcW w:w="937" w:type="pct"/>
            <w:tcBorders>
              <w:top w:val="nil"/>
              <w:left w:val="nil"/>
              <w:bottom w:val="single" w:sz="12" w:space="0" w:color="008000"/>
              <w:right w:val="nil"/>
            </w:tcBorders>
            <w:vAlign w:val="center"/>
          </w:tcPr>
          <w:p w14:paraId="7B33F32F" w14:textId="77777777" w:rsidR="00D568B2" w:rsidRPr="00D568B2" w:rsidRDefault="00D568B2" w:rsidP="009E5170">
            <w:pPr>
              <w:contextualSpacing/>
              <w:jc w:val="center"/>
              <w:rPr>
                <w:rFonts w:cs="Arial"/>
                <w:bCs/>
                <w:i/>
                <w:iCs/>
                <w:color w:val="000000" w:themeColor="text1"/>
                <w:szCs w:val="18"/>
              </w:rPr>
            </w:pPr>
            <w:r w:rsidRPr="00D568B2">
              <w:rPr>
                <w:rFonts w:cs="Arial"/>
                <w:bCs/>
                <w:color w:val="000000" w:themeColor="text1"/>
                <w:szCs w:val="18"/>
              </w:rPr>
              <w:t>11.10</w:t>
            </w:r>
            <w:r w:rsidRPr="00D568B2">
              <w:rPr>
                <w:rFonts w:eastAsia="MS Gothic" w:cs="Arial"/>
                <w:color w:val="000000" w:themeColor="text1"/>
                <w:szCs w:val="18"/>
              </w:rPr>
              <w:t>±</w:t>
            </w:r>
            <w:r w:rsidRPr="00D568B2">
              <w:rPr>
                <w:rFonts w:cs="Arial"/>
                <w:color w:val="000000" w:themeColor="text1"/>
                <w:szCs w:val="18"/>
              </w:rPr>
              <w:t xml:space="preserve">0.81 </w:t>
            </w:r>
            <w:r w:rsidRPr="00D568B2">
              <w:rPr>
                <w:rFonts w:cs="Arial"/>
                <w:i/>
                <w:iCs/>
                <w:color w:val="000000" w:themeColor="text1"/>
                <w:szCs w:val="18"/>
              </w:rPr>
              <w:t>b</w:t>
            </w:r>
          </w:p>
        </w:tc>
        <w:tc>
          <w:tcPr>
            <w:tcW w:w="1041" w:type="pct"/>
            <w:tcBorders>
              <w:top w:val="nil"/>
              <w:left w:val="nil"/>
              <w:bottom w:val="single" w:sz="12" w:space="0" w:color="008000"/>
            </w:tcBorders>
            <w:vAlign w:val="center"/>
          </w:tcPr>
          <w:p w14:paraId="13055281" w14:textId="77777777" w:rsidR="00D568B2" w:rsidRPr="00D568B2" w:rsidRDefault="00D568B2" w:rsidP="009E5170">
            <w:pPr>
              <w:contextualSpacing/>
              <w:jc w:val="center"/>
              <w:rPr>
                <w:rFonts w:cs="Arial"/>
                <w:bCs/>
                <w:i/>
                <w:iCs/>
                <w:color w:val="000000" w:themeColor="text1"/>
                <w:szCs w:val="18"/>
              </w:rPr>
            </w:pPr>
            <w:r w:rsidRPr="00D568B2">
              <w:rPr>
                <w:rFonts w:cs="Arial"/>
                <w:bCs/>
                <w:color w:val="000000" w:themeColor="text1"/>
                <w:szCs w:val="18"/>
              </w:rPr>
              <w:t>84.30</w:t>
            </w:r>
            <w:r w:rsidRPr="00D568B2">
              <w:rPr>
                <w:rFonts w:eastAsia="MS Gothic" w:cs="Arial"/>
                <w:color w:val="000000" w:themeColor="text1"/>
                <w:szCs w:val="18"/>
              </w:rPr>
              <w:t>±</w:t>
            </w:r>
            <w:r w:rsidRPr="00D568B2">
              <w:rPr>
                <w:rFonts w:cs="Arial"/>
                <w:color w:val="000000" w:themeColor="text1"/>
                <w:szCs w:val="18"/>
              </w:rPr>
              <w:t xml:space="preserve">0.50 </w:t>
            </w:r>
            <w:r w:rsidRPr="00D568B2">
              <w:rPr>
                <w:rFonts w:cs="Arial"/>
                <w:i/>
                <w:iCs/>
                <w:color w:val="000000" w:themeColor="text1"/>
                <w:szCs w:val="18"/>
              </w:rPr>
              <w:t>a</w:t>
            </w:r>
          </w:p>
        </w:tc>
      </w:tr>
    </w:tbl>
    <w:p w14:paraId="43928F09" w14:textId="21B1713F" w:rsidR="00D568B2" w:rsidRDefault="00D568B2" w:rsidP="00FF1491">
      <w:pPr>
        <w:widowControl w:val="0"/>
        <w:autoSpaceDE w:val="0"/>
        <w:autoSpaceDN w:val="0"/>
        <w:adjustRightInd w:val="0"/>
        <w:rPr>
          <w:rFonts w:cs="Arial"/>
          <w:i/>
          <w:szCs w:val="18"/>
          <w:lang w:val="en"/>
        </w:rPr>
      </w:pPr>
      <w:r w:rsidRPr="00D568B2">
        <w:rPr>
          <w:rFonts w:cs="Arial"/>
          <w:i/>
          <w:szCs w:val="18"/>
          <w:lang w:val="en"/>
        </w:rPr>
        <w:t xml:space="preserve">Different letters in columns </w:t>
      </w:r>
      <w:r w:rsidR="005C4659">
        <w:rPr>
          <w:rFonts w:cs="Arial"/>
          <w:i/>
          <w:szCs w:val="18"/>
          <w:lang w:val="en"/>
        </w:rPr>
        <w:t xml:space="preserve">for each variety </w:t>
      </w:r>
      <w:r w:rsidRPr="00D568B2">
        <w:rPr>
          <w:rFonts w:cs="Arial"/>
          <w:i/>
          <w:szCs w:val="18"/>
          <w:lang w:val="en"/>
        </w:rPr>
        <w:t xml:space="preserve">denote </w:t>
      </w:r>
      <w:r w:rsidR="00B0616C" w:rsidRPr="00B0616C">
        <w:rPr>
          <w:rFonts w:cs="Arial"/>
          <w:i/>
          <w:szCs w:val="18"/>
          <w:lang w:val="en"/>
        </w:rPr>
        <w:t xml:space="preserve">statistically </w:t>
      </w:r>
      <w:bookmarkStart w:id="2" w:name="_Hlk133658901"/>
      <w:r w:rsidR="00B0616C" w:rsidRPr="00B0616C">
        <w:rPr>
          <w:rFonts w:cs="Arial"/>
          <w:i/>
          <w:szCs w:val="18"/>
          <w:lang w:val="en"/>
        </w:rPr>
        <w:t>significant differences</w:t>
      </w:r>
      <w:r w:rsidRPr="00D568B2">
        <w:rPr>
          <w:rFonts w:cs="Arial"/>
          <w:i/>
          <w:szCs w:val="18"/>
          <w:lang w:val="en"/>
        </w:rPr>
        <w:t xml:space="preserve"> (p&lt;0.05)</w:t>
      </w:r>
      <w:bookmarkEnd w:id="2"/>
      <w:r w:rsidRPr="00D568B2">
        <w:rPr>
          <w:rFonts w:cs="Arial"/>
          <w:i/>
          <w:szCs w:val="18"/>
          <w:lang w:val="en"/>
        </w:rPr>
        <w:t>.</w:t>
      </w:r>
    </w:p>
    <w:p w14:paraId="7494456B" w14:textId="0A57E972" w:rsidR="005C4659" w:rsidRDefault="005C4659" w:rsidP="00FF1491">
      <w:pPr>
        <w:widowControl w:val="0"/>
        <w:autoSpaceDE w:val="0"/>
        <w:autoSpaceDN w:val="0"/>
        <w:adjustRightInd w:val="0"/>
        <w:rPr>
          <w:rFonts w:cs="Arial"/>
          <w:iCs/>
          <w:szCs w:val="18"/>
          <w:lang w:val="en"/>
        </w:rPr>
      </w:pPr>
    </w:p>
    <w:p w14:paraId="6004B9C7" w14:textId="075DEB79" w:rsidR="004C6636" w:rsidRDefault="00953C30" w:rsidP="004C6636">
      <w:pPr>
        <w:widowControl w:val="0"/>
        <w:autoSpaceDE w:val="0"/>
        <w:autoSpaceDN w:val="0"/>
        <w:adjustRightInd w:val="0"/>
        <w:rPr>
          <w:rFonts w:cs="Arial"/>
          <w:iCs/>
          <w:szCs w:val="18"/>
          <w:lang w:val="en"/>
        </w:rPr>
      </w:pPr>
      <w:r>
        <w:rPr>
          <w:rFonts w:cs="Arial"/>
          <w:iCs/>
          <w:szCs w:val="18"/>
          <w:lang w:val="en"/>
        </w:rPr>
        <w:t>Moisture content</w:t>
      </w:r>
      <w:r w:rsidR="00A628F4" w:rsidRPr="00A628F4">
        <w:rPr>
          <w:rFonts w:cs="Arial"/>
          <w:iCs/>
          <w:szCs w:val="18"/>
          <w:lang w:val="en"/>
        </w:rPr>
        <w:t xml:space="preserve"> of the pomace of the Frantoio variety, </w:t>
      </w:r>
      <w:r w:rsidR="009D5567">
        <w:rPr>
          <w:rFonts w:cs="Arial"/>
          <w:iCs/>
          <w:szCs w:val="18"/>
          <w:lang w:val="en"/>
        </w:rPr>
        <w:t>revealed</w:t>
      </w:r>
      <w:r>
        <w:rPr>
          <w:rFonts w:cs="Arial"/>
          <w:iCs/>
          <w:szCs w:val="18"/>
          <w:lang w:val="en"/>
        </w:rPr>
        <w:t xml:space="preserve"> no significant differences </w:t>
      </w:r>
      <w:r w:rsidR="00A628F4" w:rsidRPr="00A628F4">
        <w:rPr>
          <w:rFonts w:cs="Arial"/>
          <w:iCs/>
          <w:szCs w:val="18"/>
          <w:lang w:val="en"/>
        </w:rPr>
        <w:t>between the three theses compared, with at an average value of 63.82%. The oil lost in pomace, as a percentage of dry matter, is not significant</w:t>
      </w:r>
      <w:r w:rsidR="00043666">
        <w:rPr>
          <w:rFonts w:cs="Arial"/>
          <w:iCs/>
          <w:szCs w:val="18"/>
          <w:lang w:val="en"/>
        </w:rPr>
        <w:t xml:space="preserve"> different</w:t>
      </w:r>
      <w:r w:rsidR="009D5567">
        <w:rPr>
          <w:rFonts w:cs="Arial"/>
          <w:iCs/>
          <w:szCs w:val="18"/>
          <w:lang w:val="en"/>
        </w:rPr>
        <w:t xml:space="preserve"> from</w:t>
      </w:r>
      <w:r w:rsidR="00A628F4" w:rsidRPr="00A628F4">
        <w:rPr>
          <w:rFonts w:cs="Arial"/>
          <w:iCs/>
          <w:szCs w:val="18"/>
          <w:lang w:val="en"/>
        </w:rPr>
        <w:t xml:space="preserve"> the PEF4.0 and the control thesis</w:t>
      </w:r>
      <w:r w:rsidR="009D5567">
        <w:rPr>
          <w:rFonts w:cs="Arial"/>
          <w:iCs/>
          <w:szCs w:val="18"/>
          <w:lang w:val="en"/>
        </w:rPr>
        <w:t>,</w:t>
      </w:r>
      <w:r w:rsidR="00A628F4" w:rsidRPr="00A628F4">
        <w:rPr>
          <w:rFonts w:cs="Arial"/>
          <w:iCs/>
          <w:szCs w:val="18"/>
          <w:lang w:val="en"/>
        </w:rPr>
        <w:t xml:space="preserve"> with an average oil loss of 9.3%, while the oil lost for the PEF 5.0 thesis is significantly lower than to the other two theses compared. The best extraction performance of the PEF 5.0 thesis is confirmed by the extractability data, in fact, giving the olive paste specific energy of 5kJkg</w:t>
      </w:r>
      <w:r w:rsidR="00A628F4" w:rsidRPr="00493A91">
        <w:rPr>
          <w:rFonts w:cs="Arial"/>
          <w:iCs/>
          <w:szCs w:val="18"/>
          <w:vertAlign w:val="superscript"/>
          <w:lang w:val="en"/>
        </w:rPr>
        <w:t>-1</w:t>
      </w:r>
      <w:r w:rsidR="00A628F4" w:rsidRPr="00A628F4">
        <w:rPr>
          <w:rFonts w:cs="Arial"/>
          <w:iCs/>
          <w:szCs w:val="18"/>
          <w:lang w:val="en"/>
        </w:rPr>
        <w:t>, the extractability is 86.06%</w:t>
      </w:r>
      <w:r w:rsidR="009D5567">
        <w:rPr>
          <w:rFonts w:cs="Arial"/>
          <w:iCs/>
          <w:szCs w:val="18"/>
          <w:lang w:val="en"/>
        </w:rPr>
        <w:t>,</w:t>
      </w:r>
      <w:r w:rsidR="00A628F4" w:rsidRPr="00A628F4">
        <w:rPr>
          <w:rFonts w:cs="Arial"/>
          <w:iCs/>
          <w:szCs w:val="18"/>
          <w:lang w:val="en"/>
        </w:rPr>
        <w:t xml:space="preserve"> proving to be statistically higher than the control and the PEF 4.0 thesis, </w:t>
      </w:r>
      <w:r w:rsidR="009D5567">
        <w:rPr>
          <w:rFonts w:cs="Arial"/>
          <w:iCs/>
          <w:szCs w:val="18"/>
          <w:lang w:val="en"/>
        </w:rPr>
        <w:t>these last conditions showing no significant</w:t>
      </w:r>
      <w:r w:rsidR="00A628F4" w:rsidRPr="00A628F4">
        <w:rPr>
          <w:rFonts w:cs="Arial"/>
          <w:iCs/>
          <w:szCs w:val="18"/>
          <w:lang w:val="en"/>
        </w:rPr>
        <w:t xml:space="preserve"> difference</w:t>
      </w:r>
      <w:r w:rsidR="009D5567">
        <w:rPr>
          <w:rFonts w:cs="Arial"/>
          <w:iCs/>
          <w:szCs w:val="18"/>
          <w:lang w:val="en"/>
        </w:rPr>
        <w:t>s</w:t>
      </w:r>
      <w:r w:rsidR="00A628F4" w:rsidRPr="00A628F4">
        <w:rPr>
          <w:rFonts w:cs="Arial"/>
          <w:iCs/>
          <w:szCs w:val="18"/>
          <w:lang w:val="en"/>
        </w:rPr>
        <w:t xml:space="preserve"> in extractability</w:t>
      </w:r>
      <w:r w:rsidR="009167C5">
        <w:rPr>
          <w:rFonts w:cs="Arial"/>
          <w:iCs/>
          <w:szCs w:val="18"/>
          <w:lang w:val="en"/>
        </w:rPr>
        <w:t xml:space="preserve"> (Figure </w:t>
      </w:r>
      <w:r w:rsidR="004C6636">
        <w:rPr>
          <w:rFonts w:cs="Arial"/>
          <w:iCs/>
          <w:szCs w:val="18"/>
          <w:lang w:val="en"/>
        </w:rPr>
        <w:t>3</w:t>
      </w:r>
      <w:r w:rsidR="009167C5">
        <w:rPr>
          <w:rFonts w:cs="Arial"/>
          <w:iCs/>
          <w:szCs w:val="18"/>
          <w:lang w:val="en"/>
        </w:rPr>
        <w:t>)</w:t>
      </w:r>
      <w:r w:rsidR="00A628F4" w:rsidRPr="00A628F4">
        <w:rPr>
          <w:rFonts w:cs="Arial"/>
          <w:iCs/>
          <w:szCs w:val="18"/>
          <w:lang w:val="en"/>
        </w:rPr>
        <w:t>.</w:t>
      </w:r>
      <w:r w:rsidR="005A1150">
        <w:rPr>
          <w:rFonts w:cs="Arial"/>
          <w:iCs/>
          <w:szCs w:val="18"/>
          <w:lang w:val="en"/>
        </w:rPr>
        <w:t xml:space="preserve"> </w:t>
      </w:r>
      <w:r w:rsidR="004C6636" w:rsidRPr="00A628F4">
        <w:rPr>
          <w:rFonts w:cs="Arial"/>
          <w:iCs/>
          <w:szCs w:val="18"/>
          <w:lang w:val="en"/>
        </w:rPr>
        <w:t>For Leccino</w:t>
      </w:r>
      <w:r w:rsidR="009D5567">
        <w:rPr>
          <w:rFonts w:cs="Arial"/>
          <w:iCs/>
          <w:szCs w:val="18"/>
          <w:lang w:val="en"/>
        </w:rPr>
        <w:t xml:space="preserve"> variety</w:t>
      </w:r>
      <w:r w:rsidR="004C6636" w:rsidRPr="00A628F4">
        <w:rPr>
          <w:rFonts w:cs="Arial"/>
          <w:iCs/>
          <w:szCs w:val="18"/>
          <w:lang w:val="en"/>
        </w:rPr>
        <w:t xml:space="preserve">, the trend of the data seems to be similar, in fact also in this case the moisture of pomace between the compared theses is not significant with an average value of 68.79%. </w:t>
      </w:r>
      <w:r w:rsidR="009D5567">
        <w:rPr>
          <w:rFonts w:cs="Arial"/>
          <w:iCs/>
          <w:szCs w:val="18"/>
          <w:lang w:val="en"/>
        </w:rPr>
        <w:t>No significant differences on</w:t>
      </w:r>
      <w:r w:rsidR="009D5567" w:rsidRPr="00A628F4">
        <w:rPr>
          <w:rFonts w:cs="Arial"/>
          <w:iCs/>
          <w:szCs w:val="18"/>
          <w:lang w:val="en"/>
        </w:rPr>
        <w:t xml:space="preserve"> </w:t>
      </w:r>
      <w:r w:rsidR="009D5567">
        <w:rPr>
          <w:rFonts w:cs="Arial"/>
          <w:iCs/>
          <w:szCs w:val="18"/>
          <w:lang w:val="en"/>
        </w:rPr>
        <w:t xml:space="preserve">% of </w:t>
      </w:r>
      <w:r w:rsidR="004C6636" w:rsidRPr="00A628F4">
        <w:rPr>
          <w:rFonts w:cs="Arial"/>
          <w:iCs/>
          <w:szCs w:val="18"/>
          <w:lang w:val="en"/>
        </w:rPr>
        <w:t xml:space="preserve">oil lost in pomace </w:t>
      </w:r>
      <w:r w:rsidR="009D5567">
        <w:rPr>
          <w:rFonts w:cs="Arial"/>
          <w:iCs/>
          <w:szCs w:val="18"/>
          <w:lang w:val="en"/>
        </w:rPr>
        <w:t>were found</w:t>
      </w:r>
      <w:r w:rsidR="004C6636" w:rsidRPr="00A628F4">
        <w:rPr>
          <w:rFonts w:cs="Arial"/>
          <w:iCs/>
          <w:szCs w:val="18"/>
          <w:lang w:val="en"/>
        </w:rPr>
        <w:t xml:space="preserve"> </w:t>
      </w:r>
      <w:r w:rsidR="009D5567">
        <w:rPr>
          <w:rFonts w:cs="Arial"/>
          <w:iCs/>
          <w:szCs w:val="18"/>
          <w:lang w:val="en"/>
        </w:rPr>
        <w:t>between</w:t>
      </w:r>
      <w:r w:rsidR="009D5567" w:rsidRPr="00A628F4">
        <w:rPr>
          <w:rFonts w:cs="Arial"/>
          <w:iCs/>
          <w:szCs w:val="18"/>
          <w:lang w:val="en"/>
        </w:rPr>
        <w:t xml:space="preserve"> </w:t>
      </w:r>
      <w:r w:rsidR="009D5567">
        <w:rPr>
          <w:rFonts w:cs="Arial"/>
          <w:iCs/>
          <w:szCs w:val="18"/>
          <w:lang w:val="en"/>
        </w:rPr>
        <w:t xml:space="preserve">PEF </w:t>
      </w:r>
      <w:r w:rsidR="004C6636" w:rsidRPr="00A628F4">
        <w:rPr>
          <w:rFonts w:cs="Arial"/>
          <w:iCs/>
          <w:szCs w:val="18"/>
          <w:lang w:val="en"/>
        </w:rPr>
        <w:t xml:space="preserve">4.0 and the control, while a statistically significant difference </w:t>
      </w:r>
      <w:r w:rsidR="00043666">
        <w:rPr>
          <w:rFonts w:cs="Arial"/>
          <w:iCs/>
          <w:szCs w:val="18"/>
          <w:lang w:val="en"/>
        </w:rPr>
        <w:t>was</w:t>
      </w:r>
      <w:r w:rsidR="00043666" w:rsidRPr="00A628F4">
        <w:rPr>
          <w:rFonts w:cs="Arial"/>
          <w:iCs/>
          <w:szCs w:val="18"/>
          <w:lang w:val="en"/>
        </w:rPr>
        <w:t xml:space="preserve"> </w:t>
      </w:r>
      <w:r w:rsidR="004C6636" w:rsidRPr="00A628F4">
        <w:rPr>
          <w:rFonts w:cs="Arial"/>
          <w:iCs/>
          <w:szCs w:val="18"/>
          <w:lang w:val="en"/>
        </w:rPr>
        <w:t>shown for PEF 5.0. Also, for the Leccino variety the extractability value is higher for the PEF 5.0 thesis compared to the other two theses. No significant differences were found between control and PEF 4.0</w:t>
      </w:r>
      <w:r w:rsidR="004C6636">
        <w:rPr>
          <w:rFonts w:cs="Arial"/>
          <w:iCs/>
          <w:szCs w:val="18"/>
          <w:lang w:val="en"/>
        </w:rPr>
        <w:t xml:space="preserve"> (Figure </w:t>
      </w:r>
      <w:r w:rsidR="00741B00">
        <w:rPr>
          <w:rFonts w:cs="Arial"/>
          <w:iCs/>
          <w:szCs w:val="18"/>
          <w:lang w:val="en"/>
        </w:rPr>
        <w:t>3b</w:t>
      </w:r>
      <w:r w:rsidR="004C6636">
        <w:rPr>
          <w:rFonts w:cs="Arial"/>
          <w:iCs/>
          <w:szCs w:val="18"/>
          <w:lang w:val="en"/>
        </w:rPr>
        <w:t>).</w:t>
      </w:r>
    </w:p>
    <w:p w14:paraId="37E789A2" w14:textId="403CF9D8" w:rsidR="004C6636" w:rsidRPr="00A628F4" w:rsidRDefault="00043666" w:rsidP="004C6636">
      <w:pPr>
        <w:widowControl w:val="0"/>
        <w:autoSpaceDE w:val="0"/>
        <w:autoSpaceDN w:val="0"/>
        <w:adjustRightInd w:val="0"/>
        <w:rPr>
          <w:rFonts w:cs="Arial"/>
          <w:iCs/>
          <w:szCs w:val="18"/>
          <w:lang w:val="en"/>
        </w:rPr>
      </w:pPr>
      <w:r>
        <w:rPr>
          <w:rFonts w:cs="Arial"/>
          <w:iCs/>
          <w:szCs w:val="18"/>
          <w:lang w:val="en"/>
        </w:rPr>
        <w:t>Regarding</w:t>
      </w:r>
      <w:r w:rsidRPr="00A628F4">
        <w:rPr>
          <w:rFonts w:cs="Arial"/>
          <w:iCs/>
          <w:szCs w:val="18"/>
          <w:lang w:val="en"/>
        </w:rPr>
        <w:t xml:space="preserve"> </w:t>
      </w:r>
      <w:r w:rsidR="004C6636" w:rsidRPr="00A628F4">
        <w:rPr>
          <w:rFonts w:cs="Arial"/>
          <w:iCs/>
          <w:szCs w:val="18"/>
          <w:lang w:val="en"/>
        </w:rPr>
        <w:t xml:space="preserve">the two </w:t>
      </w:r>
      <w:r>
        <w:rPr>
          <w:rFonts w:cs="Arial"/>
          <w:iCs/>
          <w:szCs w:val="18"/>
          <w:lang w:val="en"/>
        </w:rPr>
        <w:t xml:space="preserve">olive </w:t>
      </w:r>
      <w:r w:rsidR="004C6636" w:rsidRPr="00A628F4">
        <w:rPr>
          <w:rFonts w:cs="Arial"/>
          <w:iCs/>
          <w:szCs w:val="18"/>
          <w:lang w:val="en"/>
        </w:rPr>
        <w:t xml:space="preserve">varieties compared, there are differences in extractability, the Leccino variety </w:t>
      </w:r>
      <w:r>
        <w:rPr>
          <w:rFonts w:cs="Arial"/>
          <w:iCs/>
          <w:szCs w:val="18"/>
          <w:lang w:val="en"/>
        </w:rPr>
        <w:t>performing worse</w:t>
      </w:r>
      <w:r w:rsidR="004C6636" w:rsidRPr="00A628F4">
        <w:rPr>
          <w:rFonts w:cs="Arial"/>
          <w:iCs/>
          <w:szCs w:val="18"/>
          <w:lang w:val="en"/>
        </w:rPr>
        <w:t xml:space="preserve"> than the Frantoio variety, probably also due to the higher maturity index.</w:t>
      </w:r>
    </w:p>
    <w:p w14:paraId="56143366" w14:textId="77777777" w:rsidR="004C6636" w:rsidRDefault="004C6636" w:rsidP="00A628F4">
      <w:pPr>
        <w:widowControl w:val="0"/>
        <w:autoSpaceDE w:val="0"/>
        <w:autoSpaceDN w:val="0"/>
        <w:adjustRightInd w:val="0"/>
        <w:rPr>
          <w:rFonts w:cs="Arial"/>
          <w:iCs/>
          <w:szCs w:val="18"/>
          <w:lang w:val="en"/>
        </w:rPr>
      </w:pPr>
    </w:p>
    <w:p w14:paraId="0001C2FB" w14:textId="77777777" w:rsidR="00C9492A" w:rsidRDefault="00C9492A" w:rsidP="00A628F4">
      <w:pPr>
        <w:widowControl w:val="0"/>
        <w:autoSpaceDE w:val="0"/>
        <w:autoSpaceDN w:val="0"/>
        <w:adjustRightInd w:val="0"/>
        <w:rPr>
          <w:rFonts w:cs="Arial"/>
          <w:iCs/>
          <w:szCs w:val="18"/>
          <w:lang w:val="e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260"/>
      </w:tblGrid>
      <w:tr w:rsidR="009E494D" w14:paraId="609009AE" w14:textId="77777777" w:rsidTr="004C6636">
        <w:tc>
          <w:tcPr>
            <w:tcW w:w="4527" w:type="dxa"/>
          </w:tcPr>
          <w:p w14:paraId="55F8BF5C" w14:textId="77777777" w:rsidR="009E494D" w:rsidRDefault="009E494D" w:rsidP="00A628F4">
            <w:pPr>
              <w:widowControl w:val="0"/>
              <w:autoSpaceDE w:val="0"/>
              <w:autoSpaceDN w:val="0"/>
              <w:adjustRightInd w:val="0"/>
              <w:rPr>
                <w:rFonts w:cs="Arial"/>
                <w:iCs/>
                <w:szCs w:val="18"/>
                <w:lang w:val="en"/>
              </w:rPr>
            </w:pPr>
            <w:r>
              <w:rPr>
                <w:rFonts w:cs="Arial"/>
                <w:iCs/>
                <w:noProof/>
                <w:szCs w:val="18"/>
                <w:lang w:val="it-IT" w:eastAsia="it-IT"/>
              </w:rPr>
              <w:drawing>
                <wp:inline distT="0" distB="0" distL="0" distR="0" wp14:anchorId="1E177327" wp14:editId="581D452E">
                  <wp:extent cx="2754923" cy="1463815"/>
                  <wp:effectExtent l="0" t="0" r="7620" b="317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692" cy="1477507"/>
                          </a:xfrm>
                          <a:prstGeom prst="rect">
                            <a:avLst/>
                          </a:prstGeom>
                          <a:noFill/>
                        </pic:spPr>
                      </pic:pic>
                    </a:graphicData>
                  </a:graphic>
                </wp:inline>
              </w:drawing>
            </w:r>
          </w:p>
          <w:p w14:paraId="4E414C1E" w14:textId="42D1FD92" w:rsidR="00B45EC5" w:rsidRDefault="00B45EC5" w:rsidP="00B45EC5">
            <w:pPr>
              <w:widowControl w:val="0"/>
              <w:autoSpaceDE w:val="0"/>
              <w:autoSpaceDN w:val="0"/>
              <w:adjustRightInd w:val="0"/>
              <w:jc w:val="center"/>
              <w:rPr>
                <w:rFonts w:cs="Arial"/>
                <w:iCs/>
                <w:szCs w:val="18"/>
                <w:lang w:val="en"/>
              </w:rPr>
            </w:pPr>
            <w:r>
              <w:rPr>
                <w:rFonts w:cs="Arial"/>
                <w:iCs/>
                <w:szCs w:val="18"/>
                <w:lang w:val="en"/>
              </w:rPr>
              <w:t>a</w:t>
            </w:r>
          </w:p>
        </w:tc>
        <w:tc>
          <w:tcPr>
            <w:tcW w:w="4260" w:type="dxa"/>
          </w:tcPr>
          <w:p w14:paraId="5E6FF329" w14:textId="77777777" w:rsidR="009E494D" w:rsidRDefault="009E494D" w:rsidP="00A628F4">
            <w:pPr>
              <w:widowControl w:val="0"/>
              <w:autoSpaceDE w:val="0"/>
              <w:autoSpaceDN w:val="0"/>
              <w:adjustRightInd w:val="0"/>
              <w:rPr>
                <w:rFonts w:cs="Arial"/>
                <w:iCs/>
                <w:szCs w:val="18"/>
                <w:lang w:val="en"/>
              </w:rPr>
            </w:pPr>
            <w:r>
              <w:rPr>
                <w:rFonts w:cs="Arial"/>
                <w:iCs/>
                <w:noProof/>
                <w:szCs w:val="18"/>
                <w:lang w:val="it-IT" w:eastAsia="it-IT"/>
              </w:rPr>
              <w:drawing>
                <wp:inline distT="0" distB="0" distL="0" distR="0" wp14:anchorId="5B18EED7" wp14:editId="2B68B99F">
                  <wp:extent cx="2589028" cy="1463675"/>
                  <wp:effectExtent l="0" t="0" r="1905" b="317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454" cy="1479746"/>
                          </a:xfrm>
                          <a:prstGeom prst="rect">
                            <a:avLst/>
                          </a:prstGeom>
                          <a:noFill/>
                        </pic:spPr>
                      </pic:pic>
                    </a:graphicData>
                  </a:graphic>
                </wp:inline>
              </w:drawing>
            </w:r>
          </w:p>
          <w:p w14:paraId="3A12067F" w14:textId="07D05B64" w:rsidR="00B45EC5" w:rsidRDefault="00B45EC5" w:rsidP="00B45EC5">
            <w:pPr>
              <w:widowControl w:val="0"/>
              <w:autoSpaceDE w:val="0"/>
              <w:autoSpaceDN w:val="0"/>
              <w:adjustRightInd w:val="0"/>
              <w:jc w:val="center"/>
              <w:rPr>
                <w:rFonts w:cs="Arial"/>
                <w:iCs/>
                <w:szCs w:val="18"/>
                <w:lang w:val="en"/>
              </w:rPr>
            </w:pPr>
            <w:r>
              <w:rPr>
                <w:rFonts w:cs="Arial"/>
                <w:iCs/>
                <w:szCs w:val="18"/>
                <w:lang w:val="en"/>
              </w:rPr>
              <w:t>b</w:t>
            </w:r>
          </w:p>
        </w:tc>
      </w:tr>
    </w:tbl>
    <w:p w14:paraId="36C6CC15" w14:textId="103F50B8" w:rsidR="004C6636" w:rsidRPr="004C6636" w:rsidRDefault="004C6636" w:rsidP="004C6636">
      <w:pPr>
        <w:pStyle w:val="CETCaption"/>
        <w:rPr>
          <w:rStyle w:val="CETCaptionCarattere"/>
          <w:i/>
        </w:rPr>
      </w:pPr>
      <w:r w:rsidRPr="004C6636">
        <w:rPr>
          <w:rStyle w:val="CETCaptionCarattere"/>
          <w:i/>
          <w:lang w:val="en"/>
        </w:rPr>
        <w:t xml:space="preserve">Figure </w:t>
      </w:r>
      <w:r w:rsidRPr="004C6636">
        <w:rPr>
          <w:rStyle w:val="CETCaptionCarattere"/>
          <w:i/>
        </w:rPr>
        <w:t>3</w:t>
      </w:r>
      <w:r w:rsidRPr="004C6636">
        <w:rPr>
          <w:rStyle w:val="CETCaptionCarattere"/>
          <w:i/>
          <w:lang w:val="en"/>
        </w:rPr>
        <w:t xml:space="preserve">: </w:t>
      </w:r>
      <w:r w:rsidRPr="004C6636">
        <w:rPr>
          <w:rStyle w:val="CETCaptionCarattere"/>
          <w:i/>
        </w:rPr>
        <w:t xml:space="preserve">a) </w:t>
      </w:r>
      <w:r w:rsidRPr="004C6636">
        <w:rPr>
          <w:rStyle w:val="CETCaptionCarattere"/>
          <w:i/>
          <w:lang w:val="en"/>
        </w:rPr>
        <w:t>Oil loss in pomace (% dry matter) and extractability (%) for Frantoio variety</w:t>
      </w:r>
      <w:r w:rsidRPr="004C6636">
        <w:rPr>
          <w:rStyle w:val="CETCaptionCarattere"/>
          <w:i/>
        </w:rPr>
        <w:t xml:space="preserve">; b) </w:t>
      </w:r>
      <w:r w:rsidRPr="004C6636">
        <w:rPr>
          <w:rStyle w:val="CETCaptionCarattere"/>
          <w:i/>
          <w:lang w:val="en"/>
        </w:rPr>
        <w:t>Oil loss in pomace (% dry matter) and extractability (%) for Leccino variety</w:t>
      </w:r>
    </w:p>
    <w:p w14:paraId="4D782A91" w14:textId="7E49A630" w:rsidR="00D568B2" w:rsidRDefault="00841F78" w:rsidP="00741B00">
      <w:pPr>
        <w:widowControl w:val="0"/>
        <w:autoSpaceDE w:val="0"/>
        <w:autoSpaceDN w:val="0"/>
        <w:adjustRightInd w:val="0"/>
      </w:pPr>
      <w:r w:rsidRPr="00841F78">
        <w:rPr>
          <w:rFonts w:cs="Arial"/>
          <w:iCs/>
          <w:szCs w:val="18"/>
          <w:lang w:val="en"/>
        </w:rPr>
        <w:t>Th</w:t>
      </w:r>
      <w:r w:rsidR="00043666">
        <w:rPr>
          <w:rFonts w:cs="Arial"/>
          <w:iCs/>
          <w:szCs w:val="18"/>
          <w:lang w:val="en"/>
        </w:rPr>
        <w:t>is</w:t>
      </w:r>
      <w:r w:rsidRPr="00841F78">
        <w:rPr>
          <w:rFonts w:cs="Arial"/>
          <w:iCs/>
          <w:szCs w:val="18"/>
          <w:lang w:val="en"/>
        </w:rPr>
        <w:t xml:space="preserve"> study demonstrated that also for the Frantoio and Leccino varieties the application of PEFs can increase oil extraction thus reducing the percentage of oil lost in the pomace.</w:t>
      </w:r>
      <w:r w:rsidR="00741B00">
        <w:rPr>
          <w:rFonts w:cs="Arial"/>
          <w:iCs/>
          <w:szCs w:val="18"/>
          <w:lang w:val="en"/>
        </w:rPr>
        <w:t xml:space="preserve"> </w:t>
      </w:r>
      <w:r w:rsidRPr="00841F78">
        <w:rPr>
          <w:rFonts w:cs="Arial"/>
          <w:iCs/>
          <w:szCs w:val="18"/>
          <w:lang w:val="en"/>
        </w:rPr>
        <w:t>This research confirms the quantitative evidence already demonstrated for the Arbequina, Empeltre, Picholine, Manzanilla, Hojiblanca, Arroniz, Coratina, Nocellara del Belice, Carolea and Ottobratica varieties.</w:t>
      </w:r>
    </w:p>
    <w:p w14:paraId="3CC885C0" w14:textId="4561222E" w:rsidR="00600535" w:rsidRPr="00B57B36" w:rsidRDefault="00B96B39" w:rsidP="00B96B39">
      <w:pPr>
        <w:pStyle w:val="CETHeading1"/>
        <w:tabs>
          <w:tab w:val="left" w:pos="284"/>
        </w:tabs>
        <w:rPr>
          <w:lang w:val="en-GB"/>
        </w:rPr>
      </w:pPr>
      <w:r>
        <w:rPr>
          <w:lang w:val="en-GB"/>
        </w:rPr>
        <w:t>4.</w:t>
      </w:r>
      <w:r>
        <w:rPr>
          <w:lang w:val="en-GB"/>
        </w:rPr>
        <w:tab/>
      </w:r>
      <w:r w:rsidR="00600535" w:rsidRPr="00B57B36">
        <w:rPr>
          <w:lang w:val="en-GB"/>
        </w:rPr>
        <w:t>Conclusions</w:t>
      </w:r>
    </w:p>
    <w:p w14:paraId="5B4B2AAF" w14:textId="52E31FBC" w:rsidR="004B5627" w:rsidRPr="004B5627" w:rsidRDefault="004B5627" w:rsidP="004B5627">
      <w:pPr>
        <w:pStyle w:val="CETBodytext"/>
        <w:rPr>
          <w:lang w:val="en-GB"/>
        </w:rPr>
      </w:pPr>
      <w:r w:rsidRPr="004B5627">
        <w:rPr>
          <w:lang w:val="en-GB"/>
        </w:rPr>
        <w:t xml:space="preserve">According to the </w:t>
      </w:r>
      <w:r w:rsidR="00043666">
        <w:rPr>
          <w:lang w:val="en-GB"/>
        </w:rPr>
        <w:t xml:space="preserve">obtained </w:t>
      </w:r>
      <w:r w:rsidRPr="004B5627">
        <w:rPr>
          <w:lang w:val="en-GB"/>
        </w:rPr>
        <w:t xml:space="preserve">results, PEF technology appears to be an appropriate technology to </w:t>
      </w:r>
      <w:r w:rsidR="00043666">
        <w:rPr>
          <w:lang w:val="en-GB"/>
        </w:rPr>
        <w:t>improve</w:t>
      </w:r>
      <w:r w:rsidR="00043666" w:rsidRPr="004B5627">
        <w:rPr>
          <w:lang w:val="en-GB"/>
        </w:rPr>
        <w:t xml:space="preserve"> </w:t>
      </w:r>
      <w:r w:rsidRPr="004B5627">
        <w:rPr>
          <w:lang w:val="en-GB"/>
        </w:rPr>
        <w:t>the olive oil extraction process. The results demonstrated that by continuously applying a specific energy of 5.0 kJkg</w:t>
      </w:r>
      <w:r w:rsidRPr="00493A91">
        <w:rPr>
          <w:vertAlign w:val="superscript"/>
          <w:lang w:val="en-GB"/>
        </w:rPr>
        <w:t>-1</w:t>
      </w:r>
      <w:r w:rsidRPr="004B5627">
        <w:rPr>
          <w:lang w:val="en-GB"/>
        </w:rPr>
        <w:t xml:space="preserve"> to the post-crusher olive paste, the oil extractability significantly increased compared to the control by about 4% (absolute value) for the Frantoio variety, and by about 3 % (absolute value) for the Leccino variety, while reducing the percentage of oil lost in the pomace.</w:t>
      </w:r>
    </w:p>
    <w:p w14:paraId="6DB158A2" w14:textId="6E454F0D" w:rsidR="004B5627" w:rsidRPr="004B5627" w:rsidRDefault="004B5627" w:rsidP="004B5627">
      <w:pPr>
        <w:pStyle w:val="CETBodytext"/>
        <w:rPr>
          <w:lang w:val="en-GB"/>
        </w:rPr>
      </w:pPr>
      <w:r w:rsidRPr="004B5627">
        <w:rPr>
          <w:lang w:val="en-GB"/>
        </w:rPr>
        <w:t xml:space="preserve">However, it </w:t>
      </w:r>
      <w:r w:rsidR="00043666" w:rsidRPr="004B5627">
        <w:rPr>
          <w:lang w:val="en-GB"/>
        </w:rPr>
        <w:t>remains</w:t>
      </w:r>
      <w:r w:rsidRPr="004B5627">
        <w:rPr>
          <w:lang w:val="en-GB"/>
        </w:rPr>
        <w:t xml:space="preserve"> to be discovered how adjusting the PEF system operating parameters, pulse length, frequency, electric field and voltage and their combination can affect the process.</w:t>
      </w:r>
    </w:p>
    <w:p w14:paraId="23F6B41E" w14:textId="47A22F9E" w:rsidR="001D0CFB" w:rsidRDefault="004B5627" w:rsidP="004B5627">
      <w:pPr>
        <w:pStyle w:val="CETBodytext"/>
        <w:rPr>
          <w:lang w:val="en-GB"/>
        </w:rPr>
      </w:pPr>
      <w:r w:rsidRPr="004B5627">
        <w:rPr>
          <w:lang w:val="en-GB"/>
        </w:rPr>
        <w:t>Overall, PEF technology has shown promising results for the olive oil production, although it is still a relatively new technology and more research is needed to fully understand its potential benefits and limitations.</w:t>
      </w:r>
    </w:p>
    <w:p w14:paraId="2E4179A8" w14:textId="0FFE4835" w:rsidR="003C7EFF" w:rsidRPr="003C7EFF" w:rsidRDefault="003C7EFF" w:rsidP="003C7EFF">
      <w:pPr>
        <w:pStyle w:val="CETBodytext"/>
        <w:rPr>
          <w:lang w:val="en-GB"/>
        </w:rPr>
      </w:pPr>
      <w:r w:rsidRPr="003C7EFF">
        <w:rPr>
          <w:lang w:val="en-GB"/>
        </w:rPr>
        <w:t xml:space="preserve">The industrial scale-up of the prototype could have important implications in terms of cost-effectiveness of the construction and investment costs of the plant, also justified by the increase in oil yield and the limited electrical power </w:t>
      </w:r>
      <w:r>
        <w:rPr>
          <w:lang w:val="en-GB"/>
        </w:rPr>
        <w:t>request</w:t>
      </w:r>
      <w:r w:rsidRPr="003C7EFF">
        <w:rPr>
          <w:lang w:val="en-GB"/>
        </w:rPr>
        <w:t xml:space="preserve"> of the PEF plant.</w:t>
      </w:r>
    </w:p>
    <w:p w14:paraId="674CFAF4" w14:textId="7E243A74" w:rsidR="00600535" w:rsidRPr="00B57B36" w:rsidRDefault="003C7EFF" w:rsidP="00600535">
      <w:pPr>
        <w:pStyle w:val="CETAcknowledgementstitle"/>
      </w:pPr>
      <w:r w:rsidRPr="003C7EFF">
        <w:t>However a cost-benefit analysis may be needed.</w:t>
      </w:r>
      <w:r w:rsidR="00600535" w:rsidRPr="00B57B36">
        <w:t>Acknowledgments</w:t>
      </w:r>
    </w:p>
    <w:p w14:paraId="5596F793" w14:textId="72D78278" w:rsidR="003030BB" w:rsidRDefault="003030BB" w:rsidP="003030BB">
      <w:pPr>
        <w:pStyle w:val="CETBodytext"/>
      </w:pPr>
      <w:r w:rsidRPr="002D4800">
        <w:t>The authors have contributed to the same extent to the present study.</w:t>
      </w:r>
    </w:p>
    <w:p w14:paraId="2DEE2FFB" w14:textId="77777777" w:rsidR="00904525" w:rsidRDefault="00904525" w:rsidP="003030BB">
      <w:pPr>
        <w:pStyle w:val="CETBodytext"/>
      </w:pPr>
      <w:r w:rsidRPr="00904525">
        <w:t>The authors would like to thank Dr. Domenico Tarantino for the te</w:t>
      </w:r>
      <w:r>
        <w:t>chnical and laboratory support.</w:t>
      </w:r>
    </w:p>
    <w:p w14:paraId="50B523E3" w14:textId="1426C207" w:rsidR="00904525" w:rsidRPr="002D4800" w:rsidRDefault="00904525" w:rsidP="003030BB">
      <w:pPr>
        <w:pStyle w:val="CETBodytext"/>
      </w:pPr>
      <w:r w:rsidRPr="00904525">
        <w:t>This work was supported by the European Union - Next Generation EU – funding from Ministry for University and Research Decree 737/2021 –research project “ECOnomia circolare, Sostenibilità e profili di evoluzione Normativa nella produzione dell’Olio extravergine Di Oliva - (ECOSNODO)” with Unique Project Code H91I21001700006.</w:t>
      </w:r>
    </w:p>
    <w:p w14:paraId="4CDE9229" w14:textId="77777777" w:rsidR="00600535" w:rsidRPr="00B57B36" w:rsidRDefault="00600535" w:rsidP="00600535">
      <w:pPr>
        <w:pStyle w:val="CETReference"/>
      </w:pPr>
      <w:r w:rsidRPr="00B57B36">
        <w:t>References</w:t>
      </w:r>
    </w:p>
    <w:p w14:paraId="282CEC1C" w14:textId="0AF68D62" w:rsidR="00661C6E" w:rsidRPr="00904525" w:rsidRDefault="00661C6E" w:rsidP="00661C6E">
      <w:pPr>
        <w:pStyle w:val="CETReferencetext"/>
      </w:pPr>
      <w:r w:rsidRPr="00904525">
        <w:t xml:space="preserve">Chen, Z., Zhu, S., Zhang, H., Wang, F., Marszałek, K., </w:t>
      </w:r>
      <w:r w:rsidR="00904525">
        <w:t>Zhu, Z., 2023,</w:t>
      </w:r>
      <w:r w:rsidRPr="00904525">
        <w:t xml:space="preserve"> Multiple effects driven by pulsed electric field to enhance the catalytic efficiency of the mussel-inspired proteolytic membrane in protein hydrolysis. </w:t>
      </w:r>
      <w:r w:rsidRPr="00904525">
        <w:rPr>
          <w:iCs/>
        </w:rPr>
        <w:t>Chemical Engineering Journal</w:t>
      </w:r>
      <w:r w:rsidRPr="00904525">
        <w:t xml:space="preserve">, Volume 453, </w:t>
      </w:r>
      <w:r w:rsidR="00904525" w:rsidRPr="00904525">
        <w:t>Part 2, 139792, ISSN 1385-8947.</w:t>
      </w:r>
    </w:p>
    <w:p w14:paraId="13BCDDAA" w14:textId="5B6897E1" w:rsidR="00661C6E" w:rsidRPr="00904525" w:rsidRDefault="00661C6E" w:rsidP="00661C6E">
      <w:pPr>
        <w:pStyle w:val="CETReferencetext"/>
      </w:pPr>
      <w:r w:rsidRPr="00904525">
        <w:t xml:space="preserve">Arshad, R.N., Abdul-Malek, Z., Munir, A., Buntat, Z., Ahmad, M.H., Jusoh, </w:t>
      </w:r>
      <w:r w:rsidR="00373C32" w:rsidRPr="00904525">
        <w:t xml:space="preserve">Y. M.M., </w:t>
      </w:r>
      <w:r w:rsidRPr="00904525">
        <w:t xml:space="preserve">Bekhit, </w:t>
      </w:r>
      <w:r w:rsidR="00373C32" w:rsidRPr="00904525">
        <w:t xml:space="preserve">A.E., </w:t>
      </w:r>
      <w:r w:rsidRPr="00904525">
        <w:t>Roobab,</w:t>
      </w:r>
      <w:r w:rsidR="00373C32" w:rsidRPr="00904525">
        <w:t xml:space="preserve"> U.,</w:t>
      </w:r>
      <w:r w:rsidRPr="00904525">
        <w:t xml:space="preserve"> Manzoor, </w:t>
      </w:r>
      <w:r w:rsidR="00904525" w:rsidRPr="00904525">
        <w:t xml:space="preserve">M.F., </w:t>
      </w:r>
      <w:r w:rsidRPr="00904525">
        <w:t>Aadil,</w:t>
      </w:r>
      <w:r w:rsidR="00904525">
        <w:t xml:space="preserve"> R.M., 2020,</w:t>
      </w:r>
      <w:r w:rsidR="00373C32" w:rsidRPr="00904525">
        <w:t xml:space="preserve"> </w:t>
      </w:r>
      <w:r w:rsidRPr="00904525">
        <w:t>Electrical systems for pulsed electric field applications in the food industry: An engineering perspective</w:t>
      </w:r>
      <w:r w:rsidR="00373C32" w:rsidRPr="00904525">
        <w:t xml:space="preserve">. </w:t>
      </w:r>
      <w:r w:rsidRPr="00904525">
        <w:rPr>
          <w:iCs/>
        </w:rPr>
        <w:t>Trends in Food Science &amp; Technology</w:t>
      </w:r>
      <w:r w:rsidRPr="00904525">
        <w:t>,</w:t>
      </w:r>
      <w:r w:rsidR="00373C32" w:rsidRPr="00904525">
        <w:t xml:space="preserve"> </w:t>
      </w:r>
      <w:r w:rsidRPr="00904525">
        <w:t>Volume 104,</w:t>
      </w:r>
      <w:r w:rsidR="00373C32" w:rsidRPr="00904525">
        <w:t xml:space="preserve"> P</w:t>
      </w:r>
      <w:r w:rsidRPr="00904525">
        <w:t>ages 1-13,</w:t>
      </w:r>
      <w:r w:rsidR="00373C32" w:rsidRPr="00904525">
        <w:t xml:space="preserve"> </w:t>
      </w:r>
      <w:r w:rsidRPr="00904525">
        <w:t>ISSN 0924-2244</w:t>
      </w:r>
      <w:r w:rsidR="00904525" w:rsidRPr="00904525">
        <w:t>.</w:t>
      </w:r>
    </w:p>
    <w:p w14:paraId="073F52AC" w14:textId="670857E9" w:rsidR="00C52C3C" w:rsidRPr="00904525" w:rsidRDefault="009A6D69" w:rsidP="00E65B91">
      <w:pPr>
        <w:pStyle w:val="CETReferencetext"/>
      </w:pPr>
      <w:r w:rsidRPr="00904525">
        <w:t>Izabelanair. 20</w:t>
      </w:r>
      <w:r w:rsidR="00904525">
        <w:t>18,</w:t>
      </w:r>
      <w:r w:rsidRPr="00904525">
        <w:t xml:space="preserve"> The FieldFOOD project - exploring the use of pulsed electric field (PEF) technology in the food industry. </w:t>
      </w:r>
      <w:r w:rsidRPr="00904525">
        <w:rPr>
          <w:iCs/>
        </w:rPr>
        <w:t>The Journal of the Institute of Food Science &amp; Technology</w:t>
      </w:r>
      <w:r w:rsidRPr="00904525">
        <w:t xml:space="preserve">. </w:t>
      </w:r>
    </w:p>
    <w:p w14:paraId="308D5DCA" w14:textId="2DFCE09D" w:rsidR="00A92D73" w:rsidRPr="00CF60D4" w:rsidRDefault="009A6D69" w:rsidP="005C58EC">
      <w:pPr>
        <w:pStyle w:val="CETReferencetext"/>
        <w:rPr>
          <w:lang w:val="en-US"/>
        </w:rPr>
      </w:pPr>
      <w:r w:rsidRPr="00904525">
        <w:rPr>
          <w:lang w:val="en-US"/>
        </w:rPr>
        <w:t>Mannozzi, C., Rompoonpol, K., Fauster, T., Tylewicz, U., Romani, S., Dalla Rosa, M.,</w:t>
      </w:r>
      <w:r w:rsidR="00A92D73" w:rsidRPr="00904525">
        <w:rPr>
          <w:lang w:val="en-US"/>
        </w:rPr>
        <w:t xml:space="preserve"> Jaeger, H., </w:t>
      </w:r>
      <w:r w:rsidRPr="00904525">
        <w:rPr>
          <w:lang w:val="en-US"/>
        </w:rPr>
        <w:t>2019</w:t>
      </w:r>
      <w:r w:rsidR="00904525">
        <w:rPr>
          <w:lang w:val="en-US"/>
        </w:rPr>
        <w:t>,</w:t>
      </w:r>
      <w:r w:rsidRPr="00904525">
        <w:rPr>
          <w:lang w:val="en-US"/>
        </w:rPr>
        <w:t xml:space="preserve"> </w:t>
      </w:r>
      <w:r w:rsidR="00A92D73" w:rsidRPr="00904525">
        <w:rPr>
          <w:lang w:val="en-US"/>
        </w:rPr>
        <w:t xml:space="preserve">Influence of Pulsed Electric Field and Ohmic Heating Pretreatments on Enzyme and Antioxidant Activity of Fruit and Vegetable Juices. </w:t>
      </w:r>
      <w:r w:rsidR="00A92D73" w:rsidRPr="00CF60D4">
        <w:rPr>
          <w:iCs/>
          <w:lang w:val="en-US"/>
        </w:rPr>
        <w:t>Foods</w:t>
      </w:r>
      <w:r w:rsidR="00A92D73" w:rsidRPr="00CF60D4">
        <w:rPr>
          <w:lang w:val="en-US"/>
        </w:rPr>
        <w:t>. 8. 247. 10.3390.</w:t>
      </w:r>
    </w:p>
    <w:p w14:paraId="07C61D6B" w14:textId="49DDC200" w:rsidR="006B4888" w:rsidRPr="00904525" w:rsidRDefault="009A6D69" w:rsidP="006B4888">
      <w:pPr>
        <w:pStyle w:val="CETReferencetext"/>
      </w:pPr>
      <w:r w:rsidRPr="00CF60D4">
        <w:rPr>
          <w:lang w:val="en-US"/>
        </w:rPr>
        <w:lastRenderedPageBreak/>
        <w:t>Ferreira, V. J., Arnal, A ́. J., Royo, P., García-Armingol, T., Lo ́pez-Sabiro ́n, A. M., &amp; Ferreira, G.</w:t>
      </w:r>
      <w:r w:rsidR="005C58EC" w:rsidRPr="00CF60D4">
        <w:rPr>
          <w:lang w:val="en-US"/>
        </w:rPr>
        <w:t>,</w:t>
      </w:r>
      <w:r w:rsidR="00904525" w:rsidRPr="00CF60D4">
        <w:rPr>
          <w:lang w:val="en-US"/>
        </w:rPr>
        <w:t xml:space="preserve"> 2019,</w:t>
      </w:r>
      <w:r w:rsidRPr="00CF60D4">
        <w:rPr>
          <w:lang w:val="en-US"/>
        </w:rPr>
        <w:t xml:space="preserve"> </w:t>
      </w:r>
      <w:r w:rsidRPr="00904525">
        <w:t xml:space="preserve">Energy and resource efficiency of electroporation-assisted extraction as an emerging technology towards a sustainable bio-economy in the agri- food sector. </w:t>
      </w:r>
      <w:r w:rsidRPr="00904525">
        <w:rPr>
          <w:iCs/>
        </w:rPr>
        <w:t>Journal of Cleaner Production</w:t>
      </w:r>
      <w:r w:rsidRPr="00904525">
        <w:t>, 233, 1123–1132.</w:t>
      </w:r>
    </w:p>
    <w:p w14:paraId="00B45F1C" w14:textId="5B395262" w:rsidR="009A6D69" w:rsidRPr="00904525" w:rsidRDefault="009A6D69" w:rsidP="005C58EC">
      <w:pPr>
        <w:pStyle w:val="CETReferencetext"/>
      </w:pPr>
      <w:r w:rsidRPr="00904525">
        <w:rPr>
          <w:lang w:val="en-US"/>
        </w:rPr>
        <w:t xml:space="preserve">Barba, F. J., Parniakov, O., Pereira, S. A., Wiktor, A., Grimi, N., Boussetta, N., </w:t>
      </w:r>
      <w:r w:rsidR="005C58EC" w:rsidRPr="00904525">
        <w:t xml:space="preserve">Saraiva, J.A., Raso, J., Martin-Belloso, O., Witrowa-Rajchert, D., Lebovka, N., &amp; Vorobiev, E., </w:t>
      </w:r>
      <w:r w:rsidR="00904525">
        <w:t>2015,</w:t>
      </w:r>
      <w:r w:rsidRPr="00904525">
        <w:t xml:space="preserve"> Current applications and new opportunities for the use of pulsed electric fields in food science and industry. </w:t>
      </w:r>
      <w:r w:rsidRPr="00904525">
        <w:rPr>
          <w:iCs/>
        </w:rPr>
        <w:t>Food Research International</w:t>
      </w:r>
      <w:r w:rsidRPr="00904525">
        <w:t>, 77, 773–798.</w:t>
      </w:r>
    </w:p>
    <w:p w14:paraId="76EF68BC" w14:textId="2B98155C" w:rsidR="009A6D69" w:rsidRPr="00904525" w:rsidRDefault="009A6D69" w:rsidP="009A6D69">
      <w:pPr>
        <w:pStyle w:val="CETReferencetext"/>
      </w:pPr>
      <w:r w:rsidRPr="00904525">
        <w:t>Barba, F. J., Zhu, Z., Koubaa, M., Sant’Ana, A. S., &amp; Orlien, V.</w:t>
      </w:r>
      <w:r w:rsidR="005C58EC" w:rsidRPr="00904525">
        <w:t xml:space="preserve">, </w:t>
      </w:r>
      <w:r w:rsidRPr="00904525">
        <w:t>2016</w:t>
      </w:r>
      <w:r w:rsidR="00904525">
        <w:t>,</w:t>
      </w:r>
      <w:r w:rsidRPr="00904525">
        <w:t xml:space="preserve"> Green alternative methods for the extraction of antioxidant bioactive compounds from winery wastes and by-products: A review. </w:t>
      </w:r>
      <w:r w:rsidRPr="00904525">
        <w:rPr>
          <w:iCs/>
        </w:rPr>
        <w:t>Trends in Food Science &amp; Technology</w:t>
      </w:r>
      <w:r w:rsidRPr="00904525">
        <w:t>, 49, 96–109.</w:t>
      </w:r>
    </w:p>
    <w:p w14:paraId="15AA1026" w14:textId="4A3C5B59" w:rsidR="00012690" w:rsidRPr="00904525" w:rsidRDefault="00012690" w:rsidP="009A6D69">
      <w:pPr>
        <w:pStyle w:val="CETReferencetext"/>
      </w:pPr>
      <w:r w:rsidRPr="00904525">
        <w:t>Bekhit, A. E.-D. A., van de Ven, R., Suwandy, V., Fahri, F., &amp; Hopkins, D. L.</w:t>
      </w:r>
      <w:r w:rsidR="00FC555D" w:rsidRPr="00904525">
        <w:t>,</w:t>
      </w:r>
      <w:r w:rsidR="00904525">
        <w:t xml:space="preserve"> 2014,</w:t>
      </w:r>
      <w:r w:rsidRPr="00904525">
        <w:t xml:space="preserve"> Effect of pulsed electric field treatment on cold-boned muscles of different potential tenderness. </w:t>
      </w:r>
      <w:r w:rsidRPr="00904525">
        <w:rPr>
          <w:iCs/>
        </w:rPr>
        <w:t>Food and Bioprocess Technology</w:t>
      </w:r>
      <w:r w:rsidRPr="00904525">
        <w:t>, 7, 3136–3146.</w:t>
      </w:r>
    </w:p>
    <w:p w14:paraId="1AC7433F" w14:textId="74439A7B" w:rsidR="009C270C" w:rsidRPr="00CF60D4" w:rsidRDefault="009C270C" w:rsidP="009C270C">
      <w:pPr>
        <w:pStyle w:val="CETReferencetext"/>
        <w:rPr>
          <w:lang w:val="en-US"/>
        </w:rPr>
      </w:pPr>
      <w:r w:rsidRPr="00904525">
        <w:t>Zhou, H., Wang, Z., Dong, Y., Alhaskawi, A., Tu, T., Ezzi, S.H.A., Kota, V.G., Abdulla, M.H.A</w:t>
      </w:r>
      <w:r w:rsidR="00904525">
        <w:t>.H., Li, P., Wu, B., Chen, Y.,</w:t>
      </w:r>
      <w:r w:rsidRPr="00904525">
        <w:t xml:space="preserve"> Lu, H., 2023</w:t>
      </w:r>
      <w:r w:rsidR="00904525">
        <w:t>,</w:t>
      </w:r>
      <w:r w:rsidRPr="00904525">
        <w:t xml:space="preserve"> New advances in treatment of skin malignant tumors with nanosecond pulsed electric field: A literature review. </w:t>
      </w:r>
      <w:r w:rsidRPr="00CF60D4">
        <w:rPr>
          <w:lang w:val="en-US"/>
        </w:rPr>
        <w:t xml:space="preserve">Bioelectrochemistry, Volume 150, 108366, ISSN 1567-5394. </w:t>
      </w:r>
    </w:p>
    <w:p w14:paraId="56634725" w14:textId="7824CFFA" w:rsidR="004628D2" w:rsidRPr="00904525" w:rsidRDefault="00571D7F" w:rsidP="00571D7F">
      <w:pPr>
        <w:pStyle w:val="CETReferencetext"/>
        <w:rPr>
          <w:lang w:val="en-US"/>
        </w:rPr>
      </w:pPr>
      <w:r w:rsidRPr="00CF60D4">
        <w:rPr>
          <w:lang w:val="en-US"/>
        </w:rPr>
        <w:t>Squeo, G., Tamborrino, A., Pasqualone, A., Leone, A., Paradiso, V.M., Summo, C., &amp; Caponio, F.,</w:t>
      </w:r>
      <w:r w:rsidR="00904525" w:rsidRPr="00CF60D4">
        <w:rPr>
          <w:lang w:val="en-US"/>
        </w:rPr>
        <w:t xml:space="preserve"> 2017, </w:t>
      </w:r>
      <w:r w:rsidRPr="00904525">
        <w:t xml:space="preserve">Assessment of the Influence of the Decanter Set-up During Continuous Processing of Olives at Different Pigmentation Index. </w:t>
      </w:r>
      <w:r w:rsidRPr="00904525">
        <w:rPr>
          <w:iCs/>
          <w:lang w:val="en-US"/>
        </w:rPr>
        <w:t>Food Bioprocess Technol</w:t>
      </w:r>
      <w:r w:rsidRPr="00904525">
        <w:rPr>
          <w:lang w:val="en-US"/>
        </w:rPr>
        <w:t xml:space="preserve"> 10, 592–602. </w:t>
      </w:r>
    </w:p>
    <w:p w14:paraId="29C4033D" w14:textId="6CDD78E4" w:rsidR="00571D7F" w:rsidRPr="00904525" w:rsidRDefault="00571D7F" w:rsidP="00571D7F">
      <w:pPr>
        <w:pStyle w:val="CETReferencetext"/>
        <w:rPr>
          <w:lang w:val="en-US"/>
        </w:rPr>
      </w:pPr>
      <w:r w:rsidRPr="00904525">
        <w:rPr>
          <w:lang w:val="en-US"/>
        </w:rPr>
        <w:t>Leone, A., Romaniello, R., Zagaria, R., Tamborrino, A., 2015</w:t>
      </w:r>
      <w:r w:rsidR="00904525">
        <w:rPr>
          <w:lang w:val="en-US"/>
        </w:rPr>
        <w:t>,</w:t>
      </w:r>
      <w:r w:rsidRPr="00904525">
        <w:rPr>
          <w:lang w:val="en-US"/>
        </w:rPr>
        <w:t xml:space="preserve"> Mathematical modelling of the performance parameters of a new decanter centrifuge generation. Journal of Food Engineering, Volume 166, Pages 10-20, ISSN 0260-8774. </w:t>
      </w:r>
    </w:p>
    <w:p w14:paraId="3BF6CB7A" w14:textId="7B172960" w:rsidR="00571D7F" w:rsidRPr="00904525" w:rsidRDefault="00571D7F" w:rsidP="00571D7F">
      <w:pPr>
        <w:pStyle w:val="CETReferencetext"/>
        <w:rPr>
          <w:lang w:val="en-US"/>
        </w:rPr>
      </w:pPr>
      <w:r w:rsidRPr="00CF60D4">
        <w:rPr>
          <w:lang w:val="en-US"/>
        </w:rPr>
        <w:t>Tamborrino, A., Clodoveo, M., Leone, A., Amirante, P., &amp; Paice, A.</w:t>
      </w:r>
      <w:r w:rsidR="002332D9" w:rsidRPr="00CF60D4">
        <w:rPr>
          <w:lang w:val="en-US"/>
        </w:rPr>
        <w:t xml:space="preserve">, </w:t>
      </w:r>
      <w:r w:rsidRPr="00CF60D4">
        <w:rPr>
          <w:lang w:val="en-US"/>
        </w:rPr>
        <w:t>2010</w:t>
      </w:r>
      <w:r w:rsidR="00904525" w:rsidRPr="00CF60D4">
        <w:rPr>
          <w:lang w:val="en-US"/>
        </w:rPr>
        <w:t>,</w:t>
      </w:r>
      <w:r w:rsidRPr="00CF60D4">
        <w:rPr>
          <w:lang w:val="en-US"/>
        </w:rPr>
        <w:t xml:space="preserve"> </w:t>
      </w:r>
      <w:r w:rsidRPr="00904525">
        <w:rPr>
          <w:lang w:val="en-US"/>
        </w:rPr>
        <w:t>The Malaxation Process: Influence on Olive Oil Quality and the Effect of the Control of Oxygen Concentration in Virgin Olive Oil. 10.1016/B978-0-12-374420-3.00009-7.</w:t>
      </w:r>
    </w:p>
    <w:p w14:paraId="40519152" w14:textId="0787C3BA" w:rsidR="00683531" w:rsidRPr="00904525" w:rsidRDefault="00683531" w:rsidP="00571D7F">
      <w:pPr>
        <w:pStyle w:val="CETReferencetext"/>
        <w:rPr>
          <w:lang w:val="en-US"/>
        </w:rPr>
      </w:pPr>
      <w:r w:rsidRPr="00CF60D4">
        <w:rPr>
          <w:lang w:val="en-US"/>
        </w:rPr>
        <w:t xml:space="preserve">Abenoza, M., Benito, M., Saldaña, G., Álvarez, I., Raso, J., &amp; Sánchez Gimeno, A., </w:t>
      </w:r>
      <w:r w:rsidR="00904525" w:rsidRPr="00CF60D4">
        <w:rPr>
          <w:lang w:val="en-US"/>
        </w:rPr>
        <w:t xml:space="preserve">2012, </w:t>
      </w:r>
      <w:r w:rsidRPr="00904525">
        <w:rPr>
          <w:lang w:val="en-US"/>
        </w:rPr>
        <w:t xml:space="preserve">Effects of Pulsed Electric Field on Yield Extraction and Quality of Olive Oil. </w:t>
      </w:r>
      <w:r w:rsidRPr="00904525">
        <w:rPr>
          <w:iCs/>
          <w:lang w:val="en-US"/>
        </w:rPr>
        <w:t>Food and Bioprocess Technology</w:t>
      </w:r>
      <w:r w:rsidRPr="00904525">
        <w:rPr>
          <w:lang w:val="en-US"/>
        </w:rPr>
        <w:t>. 6. 10.1007/s11947-012-0817-6.</w:t>
      </w:r>
    </w:p>
    <w:p w14:paraId="25A9676A" w14:textId="3197A7D1" w:rsidR="00683531" w:rsidRPr="00904525" w:rsidRDefault="00683531" w:rsidP="00683531">
      <w:pPr>
        <w:pStyle w:val="CETReferencetext"/>
        <w:rPr>
          <w:lang w:val="en-US"/>
        </w:rPr>
      </w:pPr>
      <w:r w:rsidRPr="00904525">
        <w:rPr>
          <w:lang w:val="en-US"/>
        </w:rPr>
        <w:t>Puértolas, E., &amp; Martínez de Marañón, I., 2015</w:t>
      </w:r>
      <w:r w:rsidR="00904525">
        <w:rPr>
          <w:lang w:val="en-US"/>
        </w:rPr>
        <w:t>,</w:t>
      </w:r>
      <w:r w:rsidRPr="00904525">
        <w:rPr>
          <w:lang w:val="en-US"/>
        </w:rPr>
        <w:t xml:space="preserve"> Olive oil pilot-production assisted by pulsed electric field: Impact on extraction yield, chemical parameters and sensory properties. Food Chemistry, Volume 167, Pages 497-502, ISSN 0308-8146. </w:t>
      </w:r>
    </w:p>
    <w:p w14:paraId="4547F7C8" w14:textId="0B7C8715" w:rsidR="00C23C0E" w:rsidRPr="00904525" w:rsidRDefault="00C23C0E" w:rsidP="00683531">
      <w:pPr>
        <w:pStyle w:val="CETReferencetext"/>
        <w:rPr>
          <w:lang w:val="en-US"/>
        </w:rPr>
      </w:pPr>
      <w:r w:rsidRPr="00904525">
        <w:rPr>
          <w:lang w:val="en-US"/>
        </w:rPr>
        <w:t>Romaniello R., Tamborrino A., Leone A., 2019, Use of Ultrasound and Pef Technologies Applied to the Olive Oil Extraction Process, Chemical Engineering Transactions, 75, 13-18.</w:t>
      </w:r>
    </w:p>
    <w:p w14:paraId="4356F078" w14:textId="67592F8D" w:rsidR="00C52FEE" w:rsidRPr="00904525" w:rsidRDefault="00C52FEE" w:rsidP="00C52FEE">
      <w:pPr>
        <w:pStyle w:val="CETReferencetext"/>
        <w:rPr>
          <w:lang w:val="en-US"/>
        </w:rPr>
      </w:pPr>
      <w:r w:rsidRPr="00CF60D4">
        <w:rPr>
          <w:lang w:val="en-US"/>
        </w:rPr>
        <w:t xml:space="preserve">Tamborrino, A., Mescia, L., Taticchi, A., Berardi, A., Lamacchia, C.M., Leone, </w:t>
      </w:r>
      <w:r w:rsidR="005D2C7C" w:rsidRPr="00CF60D4">
        <w:rPr>
          <w:lang w:val="en-US"/>
        </w:rPr>
        <w:t>A.,</w:t>
      </w:r>
      <w:r w:rsidRPr="00CF60D4">
        <w:rPr>
          <w:lang w:val="en-US"/>
        </w:rPr>
        <w:t xml:space="preserve"> Servili,</w:t>
      </w:r>
      <w:r w:rsidR="005D2C7C" w:rsidRPr="00CF60D4">
        <w:rPr>
          <w:lang w:val="en-US"/>
        </w:rPr>
        <w:t xml:space="preserve"> M., 2022,</w:t>
      </w:r>
      <w:r w:rsidRPr="00CF60D4">
        <w:rPr>
          <w:lang w:val="en-US"/>
        </w:rPr>
        <w:t xml:space="preserve"> </w:t>
      </w:r>
      <w:r w:rsidRPr="00904525">
        <w:rPr>
          <w:lang w:val="en-US"/>
        </w:rPr>
        <w:t xml:space="preserve">Continuous pulsed electric field pilot plant for olive oil extraction process. Innovative Food Science &amp; Emerging Technologies, Volume 82, 103192, ISSN 1466-8564. </w:t>
      </w:r>
    </w:p>
    <w:p w14:paraId="23210890" w14:textId="59E72231" w:rsidR="00C52FEE" w:rsidRPr="00CF60D4" w:rsidRDefault="00C52FEE" w:rsidP="00C52FEE">
      <w:pPr>
        <w:pStyle w:val="CETReferencetext"/>
        <w:rPr>
          <w:lang w:val="en-US"/>
        </w:rPr>
      </w:pPr>
      <w:r w:rsidRPr="00CF60D4">
        <w:rPr>
          <w:lang w:val="en-US"/>
        </w:rPr>
        <w:t>Tamborrino, A., Perone, C., Veneziani, G., Berardi, A., Romaniello, R.</w:t>
      </w:r>
      <w:r w:rsidR="005D2C7C" w:rsidRPr="00CF60D4">
        <w:rPr>
          <w:lang w:val="en-US"/>
        </w:rPr>
        <w:t>, Servili, M., Leone, A. 2022,</w:t>
      </w:r>
      <w:r w:rsidRPr="00CF60D4">
        <w:rPr>
          <w:lang w:val="en-US"/>
        </w:rPr>
        <w:t xml:space="preserve"> </w:t>
      </w:r>
      <w:r w:rsidRPr="00904525">
        <w:rPr>
          <w:lang w:val="en-US"/>
        </w:rPr>
        <w:t xml:space="preserve">Experimental Investigation of a New Modular Crusher Machine Developed for Olive Oil Extraction Plants. </w:t>
      </w:r>
      <w:r w:rsidRPr="00CF60D4">
        <w:rPr>
          <w:iCs/>
          <w:lang w:val="en-US"/>
        </w:rPr>
        <w:t>Foods</w:t>
      </w:r>
      <w:r w:rsidRPr="00CF60D4">
        <w:rPr>
          <w:lang w:val="en-US"/>
        </w:rPr>
        <w:t xml:space="preserve"> (Basel, Switzerland), 11(19), 3035. </w:t>
      </w:r>
    </w:p>
    <w:p w14:paraId="6E9BF55D" w14:textId="19698E7B" w:rsidR="00C52FEE" w:rsidRPr="00904525" w:rsidRDefault="00C52FEE" w:rsidP="00683531">
      <w:pPr>
        <w:pStyle w:val="CETReferencetext"/>
        <w:rPr>
          <w:lang w:val="en-US"/>
        </w:rPr>
      </w:pPr>
      <w:r w:rsidRPr="00CF60D4">
        <w:rPr>
          <w:lang w:val="en-US"/>
        </w:rPr>
        <w:t xml:space="preserve">Tamborrino, A., Urbani, S., Servili, M., Romaniello, R., Perone, C., Leone, A., </w:t>
      </w:r>
      <w:r w:rsidR="005D2C7C" w:rsidRPr="00CF60D4">
        <w:rPr>
          <w:lang w:val="en-US"/>
        </w:rPr>
        <w:t xml:space="preserve">2019, </w:t>
      </w:r>
      <w:r w:rsidRPr="00904525">
        <w:rPr>
          <w:lang w:val="en-US"/>
        </w:rPr>
        <w:t xml:space="preserve">Pulsed Electric Fields for the Treatment of Olive Pastes in the Oil Extraction Process. </w:t>
      </w:r>
      <w:r w:rsidRPr="00904525">
        <w:rPr>
          <w:iCs/>
          <w:lang w:val="en-US"/>
        </w:rPr>
        <w:t>Applied Sciences</w:t>
      </w:r>
      <w:r w:rsidRPr="00904525">
        <w:rPr>
          <w:lang w:val="en-US"/>
        </w:rPr>
        <w:t>. 10. 114. 10.3390/app10010114.</w:t>
      </w:r>
    </w:p>
    <w:p w14:paraId="51F5801A" w14:textId="0F13A140" w:rsidR="004731F1" w:rsidRPr="00904525" w:rsidRDefault="004731F1" w:rsidP="00683531">
      <w:pPr>
        <w:pStyle w:val="CETReferencetext"/>
        <w:rPr>
          <w:lang w:val="en-US"/>
        </w:rPr>
      </w:pPr>
      <w:r w:rsidRPr="00CF60D4">
        <w:rPr>
          <w:lang w:val="en-US"/>
        </w:rPr>
        <w:t xml:space="preserve">Veneziani, G., Esposto, S., Taticchi, A., Selvaggini, R., Sordini, B., Lorefice, A., Daidone, L., Pagano, M., Tomasone, </w:t>
      </w:r>
      <w:r w:rsidR="005D2C7C" w:rsidRPr="00CF60D4">
        <w:rPr>
          <w:lang w:val="en-US"/>
        </w:rPr>
        <w:t>R.,</w:t>
      </w:r>
      <w:r w:rsidRPr="00CF60D4">
        <w:rPr>
          <w:lang w:val="en-US"/>
        </w:rPr>
        <w:t xml:space="preserve"> Servili, M., 2019</w:t>
      </w:r>
      <w:r w:rsidR="005D2C7C" w:rsidRPr="00CF60D4">
        <w:rPr>
          <w:lang w:val="en-US"/>
        </w:rPr>
        <w:t>,</w:t>
      </w:r>
      <w:r w:rsidRPr="00CF60D4">
        <w:rPr>
          <w:lang w:val="en-US"/>
        </w:rPr>
        <w:t xml:space="preserve"> </w:t>
      </w:r>
      <w:r w:rsidRPr="00904525">
        <w:rPr>
          <w:lang w:val="en-US"/>
        </w:rPr>
        <w:t xml:space="preserve">Extra-Virgin Olive Oil Extracted Using Pulsed Electric Field Technology: Cultivar Impact on Oil Yield and Quality. </w:t>
      </w:r>
      <w:r w:rsidRPr="00904525">
        <w:rPr>
          <w:iCs/>
          <w:lang w:val="en-US"/>
        </w:rPr>
        <w:t>Front</w:t>
      </w:r>
      <w:r w:rsidR="00E623D8">
        <w:rPr>
          <w:iCs/>
          <w:lang w:val="en-US"/>
        </w:rPr>
        <w:t>iers</w:t>
      </w:r>
      <w:r w:rsidRPr="00904525">
        <w:rPr>
          <w:iCs/>
          <w:lang w:val="en-US"/>
        </w:rPr>
        <w:t xml:space="preserve"> </w:t>
      </w:r>
      <w:r w:rsidR="00E623D8">
        <w:rPr>
          <w:iCs/>
          <w:lang w:val="en-US"/>
        </w:rPr>
        <w:t xml:space="preserve">in </w:t>
      </w:r>
      <w:r w:rsidRPr="00904525">
        <w:rPr>
          <w:iCs/>
          <w:lang w:val="en-US"/>
        </w:rPr>
        <w:t>Nutr</w:t>
      </w:r>
      <w:r w:rsidR="00E623D8">
        <w:rPr>
          <w:iCs/>
          <w:lang w:val="en-US"/>
        </w:rPr>
        <w:t>ition</w:t>
      </w:r>
      <w:r w:rsidR="00E623D8">
        <w:rPr>
          <w:lang w:val="en-US"/>
        </w:rPr>
        <w:t xml:space="preserve">, </w:t>
      </w:r>
      <w:r w:rsidR="005D2C7C">
        <w:rPr>
          <w:lang w:val="en-US"/>
        </w:rPr>
        <w:t>6</w:t>
      </w:r>
      <w:r w:rsidR="00E623D8">
        <w:rPr>
          <w:lang w:val="en-US"/>
        </w:rPr>
        <w:t>,</w:t>
      </w:r>
      <w:r w:rsidR="005D2C7C">
        <w:rPr>
          <w:lang w:val="en-US"/>
        </w:rPr>
        <w:t>134.</w:t>
      </w:r>
    </w:p>
    <w:p w14:paraId="7855F2DE" w14:textId="7F1DD92E" w:rsidR="004731F1" w:rsidRPr="00CF60D4" w:rsidRDefault="004731F1" w:rsidP="00683531">
      <w:pPr>
        <w:pStyle w:val="CETReferencetext"/>
        <w:rPr>
          <w:lang w:val="en-US"/>
        </w:rPr>
      </w:pPr>
      <w:r w:rsidRPr="00904525">
        <w:rPr>
          <w:lang w:val="en-US"/>
        </w:rPr>
        <w:t>Navarro, A., Ruiz-Méndez, M. V., Sanz, C., Martínez, M., Rego</w:t>
      </w:r>
      <w:r w:rsidR="005D2C7C">
        <w:rPr>
          <w:lang w:val="en-US"/>
        </w:rPr>
        <w:t>, D., Pérez, A. G., 2022,</w:t>
      </w:r>
      <w:r w:rsidRPr="00904525">
        <w:rPr>
          <w:lang w:val="en-US"/>
        </w:rPr>
        <w:t xml:space="preserve"> Application of Pulsed Electric Fields to Pilot and Industrial Scale Virgin Olive Oil Extraction: Impact on Organoleptic and Functional Quality. </w:t>
      </w:r>
      <w:r w:rsidRPr="00CF60D4">
        <w:rPr>
          <w:iCs/>
          <w:lang w:val="en-US"/>
        </w:rPr>
        <w:t>Foods</w:t>
      </w:r>
      <w:r w:rsidRPr="00CF60D4">
        <w:rPr>
          <w:lang w:val="en-US"/>
        </w:rPr>
        <w:t xml:space="preserve"> (Basel, Switzerland), 11(14). </w:t>
      </w:r>
    </w:p>
    <w:p w14:paraId="07481A09" w14:textId="2084D95D" w:rsidR="004731F1" w:rsidRPr="00CF60D4" w:rsidRDefault="004731F1" w:rsidP="00683531">
      <w:pPr>
        <w:pStyle w:val="CETReferencetext"/>
        <w:rPr>
          <w:lang w:val="en-US"/>
        </w:rPr>
      </w:pPr>
      <w:r w:rsidRPr="00CF60D4">
        <w:rPr>
          <w:lang w:val="en-US"/>
        </w:rPr>
        <w:t xml:space="preserve">Leone, A., Tamborrino, A., Esposto, S., Berardi, </w:t>
      </w:r>
      <w:r w:rsidR="005D2C7C" w:rsidRPr="00CF60D4">
        <w:rPr>
          <w:lang w:val="en-US"/>
        </w:rPr>
        <w:t>A.,</w:t>
      </w:r>
      <w:r w:rsidRPr="00CF60D4">
        <w:rPr>
          <w:lang w:val="en-US"/>
        </w:rPr>
        <w:t xml:space="preserve"> Servili, M.,</w:t>
      </w:r>
      <w:r w:rsidR="005D2C7C" w:rsidRPr="00CF60D4">
        <w:rPr>
          <w:lang w:val="en-US"/>
        </w:rPr>
        <w:t xml:space="preserve"> 2022,</w:t>
      </w:r>
      <w:r w:rsidRPr="00CF60D4">
        <w:rPr>
          <w:lang w:val="en-US"/>
        </w:rPr>
        <w:t xml:space="preserve"> </w:t>
      </w:r>
      <w:r w:rsidRPr="00904525">
        <w:rPr>
          <w:lang w:val="en-US"/>
        </w:rPr>
        <w:t>Investigation on the Effects of a Pulsed Electric Field (PEF) Continuous System Implemented in an Industrial Olive Oil Plant</w:t>
      </w:r>
      <w:r w:rsidR="00FF66C9" w:rsidRPr="00904525">
        <w:rPr>
          <w:lang w:val="en-US"/>
        </w:rPr>
        <w:t>.</w:t>
      </w:r>
      <w:r w:rsidRPr="00904525">
        <w:rPr>
          <w:lang w:val="en-US"/>
        </w:rPr>
        <w:t xml:space="preserve"> </w:t>
      </w:r>
      <w:r w:rsidRPr="00CF60D4">
        <w:rPr>
          <w:iCs/>
          <w:lang w:val="en-US"/>
        </w:rPr>
        <w:t>Foods</w:t>
      </w:r>
      <w:r w:rsidRPr="00CF60D4">
        <w:rPr>
          <w:lang w:val="en-US"/>
        </w:rPr>
        <w:t xml:space="preserve"> 11, no. 18: 2758. </w:t>
      </w:r>
    </w:p>
    <w:p w14:paraId="7137D3C5" w14:textId="502B44A3" w:rsidR="00571D7F" w:rsidRPr="00904525" w:rsidRDefault="00FF66C9" w:rsidP="00FF66C9">
      <w:pPr>
        <w:pStyle w:val="CETReferencetext"/>
        <w:rPr>
          <w:lang w:val="en-US"/>
        </w:rPr>
      </w:pPr>
      <w:bookmarkStart w:id="3" w:name="_Hlk131112745"/>
      <w:r w:rsidRPr="00CF60D4">
        <w:rPr>
          <w:lang w:val="en-US"/>
        </w:rPr>
        <w:t>Martínez-Beamonte</w:t>
      </w:r>
      <w:bookmarkEnd w:id="3"/>
      <w:r w:rsidRPr="00CF60D4">
        <w:rPr>
          <w:lang w:val="en-US"/>
        </w:rPr>
        <w:t>, R., Ripalda, M., Herrero-Continente, T., Barranquero, C., Dávalos, A., López de Las Hazas, M. C., Álvarez-Lanzarote, I., Sánchez-Gimeno, A. C., Raso, J., Arnal</w:t>
      </w:r>
      <w:r w:rsidR="005D2C7C" w:rsidRPr="00CF60D4">
        <w:rPr>
          <w:lang w:val="en-US"/>
        </w:rPr>
        <w:t>, C., Surra, J. C., Osada, J.,</w:t>
      </w:r>
      <w:r w:rsidRPr="00CF60D4">
        <w:rPr>
          <w:lang w:val="en-US"/>
        </w:rPr>
        <w:t xml:space="preserve"> Navarro, M. A.,</w:t>
      </w:r>
      <w:r w:rsidR="005D2C7C" w:rsidRPr="00CF60D4">
        <w:rPr>
          <w:lang w:val="en-US"/>
        </w:rPr>
        <w:t xml:space="preserve"> 2022,</w:t>
      </w:r>
      <w:r w:rsidRPr="00CF60D4">
        <w:rPr>
          <w:lang w:val="en-US"/>
        </w:rPr>
        <w:t xml:space="preserve"> </w:t>
      </w:r>
      <w:r w:rsidRPr="00904525">
        <w:rPr>
          <w:lang w:val="en-US"/>
        </w:rPr>
        <w:t xml:space="preserve">Pulsed electric field increases the extraction yield of extra virgin olive oil without loss of its biological properties. </w:t>
      </w:r>
      <w:r w:rsidRPr="00904525">
        <w:rPr>
          <w:iCs/>
          <w:lang w:val="en-US"/>
        </w:rPr>
        <w:t xml:space="preserve">Frontiers in </w:t>
      </w:r>
      <w:r w:rsidR="00E623D8">
        <w:rPr>
          <w:iCs/>
          <w:lang w:val="en-US"/>
        </w:rPr>
        <w:t>N</w:t>
      </w:r>
      <w:r w:rsidRPr="00904525">
        <w:rPr>
          <w:iCs/>
          <w:lang w:val="en-US"/>
        </w:rPr>
        <w:t>utrition</w:t>
      </w:r>
      <w:r w:rsidRPr="00904525">
        <w:rPr>
          <w:lang w:val="en-US"/>
        </w:rPr>
        <w:t xml:space="preserve">, 9, 1065543. </w:t>
      </w:r>
    </w:p>
    <w:sectPr w:rsidR="00571D7F" w:rsidRPr="00904525"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225D" w14:textId="77777777" w:rsidR="0080497B" w:rsidRDefault="0080497B" w:rsidP="004F5E36">
      <w:r>
        <w:separator/>
      </w:r>
    </w:p>
  </w:endnote>
  <w:endnote w:type="continuationSeparator" w:id="0">
    <w:p w14:paraId="6FB85A85" w14:textId="77777777" w:rsidR="0080497B" w:rsidRDefault="0080497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77864" w14:textId="77777777" w:rsidR="0080497B" w:rsidRDefault="0080497B" w:rsidP="004F5E36">
      <w:r>
        <w:separator/>
      </w:r>
    </w:p>
  </w:footnote>
  <w:footnote w:type="continuationSeparator" w:id="0">
    <w:p w14:paraId="3672F2C5" w14:textId="77777777" w:rsidR="0080497B" w:rsidRDefault="0080497B" w:rsidP="004F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A34707C"/>
    <w:multiLevelType w:val="multilevel"/>
    <w:tmpl w:val="419211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38217E"/>
    <w:multiLevelType w:val="multilevel"/>
    <w:tmpl w:val="A4DE5456"/>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0"/>
  </w:num>
  <w:num w:numId="34">
    <w:abstractNumId w:val="1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0F9"/>
    <w:rsid w:val="000052FB"/>
    <w:rsid w:val="000117CB"/>
    <w:rsid w:val="00012690"/>
    <w:rsid w:val="0003148D"/>
    <w:rsid w:val="00031EEC"/>
    <w:rsid w:val="00043666"/>
    <w:rsid w:val="00051566"/>
    <w:rsid w:val="000562A9"/>
    <w:rsid w:val="00062A9A"/>
    <w:rsid w:val="00065058"/>
    <w:rsid w:val="00086C39"/>
    <w:rsid w:val="000A03B2"/>
    <w:rsid w:val="000B147E"/>
    <w:rsid w:val="000D0268"/>
    <w:rsid w:val="000D34BE"/>
    <w:rsid w:val="000D357B"/>
    <w:rsid w:val="000D6DC8"/>
    <w:rsid w:val="000E102F"/>
    <w:rsid w:val="000E36F1"/>
    <w:rsid w:val="000E3A73"/>
    <w:rsid w:val="000E414A"/>
    <w:rsid w:val="000F093C"/>
    <w:rsid w:val="000F787B"/>
    <w:rsid w:val="00103EC5"/>
    <w:rsid w:val="0012091F"/>
    <w:rsid w:val="00126789"/>
    <w:rsid w:val="00126BC2"/>
    <w:rsid w:val="001308B6"/>
    <w:rsid w:val="0013121F"/>
    <w:rsid w:val="00131FE6"/>
    <w:rsid w:val="0013263F"/>
    <w:rsid w:val="001331DF"/>
    <w:rsid w:val="00134DE4"/>
    <w:rsid w:val="0014034D"/>
    <w:rsid w:val="00144D16"/>
    <w:rsid w:val="00150E59"/>
    <w:rsid w:val="00152DE3"/>
    <w:rsid w:val="00164CF9"/>
    <w:rsid w:val="001667A6"/>
    <w:rsid w:val="00184AD6"/>
    <w:rsid w:val="001912F9"/>
    <w:rsid w:val="001A4AF7"/>
    <w:rsid w:val="001B0349"/>
    <w:rsid w:val="001B1E93"/>
    <w:rsid w:val="001B5289"/>
    <w:rsid w:val="001B65C1"/>
    <w:rsid w:val="001C2AB1"/>
    <w:rsid w:val="001C684B"/>
    <w:rsid w:val="001D0CFB"/>
    <w:rsid w:val="001D109E"/>
    <w:rsid w:val="001D21AF"/>
    <w:rsid w:val="001D53FC"/>
    <w:rsid w:val="001D78CD"/>
    <w:rsid w:val="001F42A5"/>
    <w:rsid w:val="001F522A"/>
    <w:rsid w:val="001F7B9D"/>
    <w:rsid w:val="00201C93"/>
    <w:rsid w:val="002022BD"/>
    <w:rsid w:val="002224B4"/>
    <w:rsid w:val="002332D9"/>
    <w:rsid w:val="0023357F"/>
    <w:rsid w:val="002342C7"/>
    <w:rsid w:val="00240FFA"/>
    <w:rsid w:val="002447EF"/>
    <w:rsid w:val="00251550"/>
    <w:rsid w:val="00257F11"/>
    <w:rsid w:val="00263B05"/>
    <w:rsid w:val="0027221A"/>
    <w:rsid w:val="00275B61"/>
    <w:rsid w:val="00280FAF"/>
    <w:rsid w:val="00282656"/>
    <w:rsid w:val="002838AC"/>
    <w:rsid w:val="00284ADC"/>
    <w:rsid w:val="00286EC0"/>
    <w:rsid w:val="0029375E"/>
    <w:rsid w:val="00296B83"/>
    <w:rsid w:val="002B4015"/>
    <w:rsid w:val="002B4D60"/>
    <w:rsid w:val="002B78CE"/>
    <w:rsid w:val="002C2FB6"/>
    <w:rsid w:val="002D6A90"/>
    <w:rsid w:val="002E1D9E"/>
    <w:rsid w:val="002E4CB0"/>
    <w:rsid w:val="002E5FA7"/>
    <w:rsid w:val="002F16BC"/>
    <w:rsid w:val="002F3309"/>
    <w:rsid w:val="002F3364"/>
    <w:rsid w:val="002F424B"/>
    <w:rsid w:val="003008CE"/>
    <w:rsid w:val="003009B7"/>
    <w:rsid w:val="00300E56"/>
    <w:rsid w:val="0030152C"/>
    <w:rsid w:val="003030BB"/>
    <w:rsid w:val="0030469C"/>
    <w:rsid w:val="00312E65"/>
    <w:rsid w:val="00313330"/>
    <w:rsid w:val="00321CA6"/>
    <w:rsid w:val="00323763"/>
    <w:rsid w:val="00323C5F"/>
    <w:rsid w:val="00334C09"/>
    <w:rsid w:val="00363840"/>
    <w:rsid w:val="003723D4"/>
    <w:rsid w:val="00373C32"/>
    <w:rsid w:val="0037456A"/>
    <w:rsid w:val="00375532"/>
    <w:rsid w:val="00381905"/>
    <w:rsid w:val="00381C10"/>
    <w:rsid w:val="00384CC8"/>
    <w:rsid w:val="003871FD"/>
    <w:rsid w:val="003909A2"/>
    <w:rsid w:val="003A1E30"/>
    <w:rsid w:val="003A2829"/>
    <w:rsid w:val="003A6FC6"/>
    <w:rsid w:val="003A7D1C"/>
    <w:rsid w:val="003B304B"/>
    <w:rsid w:val="003B3146"/>
    <w:rsid w:val="003C444A"/>
    <w:rsid w:val="003C4FB5"/>
    <w:rsid w:val="003C5B9E"/>
    <w:rsid w:val="003C7C78"/>
    <w:rsid w:val="003C7EFF"/>
    <w:rsid w:val="003F015E"/>
    <w:rsid w:val="00400414"/>
    <w:rsid w:val="0040409A"/>
    <w:rsid w:val="0041446B"/>
    <w:rsid w:val="00434D2D"/>
    <w:rsid w:val="0044071E"/>
    <w:rsid w:val="0044329C"/>
    <w:rsid w:val="00453E24"/>
    <w:rsid w:val="00457456"/>
    <w:rsid w:val="004577FE"/>
    <w:rsid w:val="00457B9C"/>
    <w:rsid w:val="0046164A"/>
    <w:rsid w:val="004628D2"/>
    <w:rsid w:val="00462DCD"/>
    <w:rsid w:val="004648AD"/>
    <w:rsid w:val="004703A9"/>
    <w:rsid w:val="004731F1"/>
    <w:rsid w:val="004760DE"/>
    <w:rsid w:val="004763D7"/>
    <w:rsid w:val="00477F05"/>
    <w:rsid w:val="00493A91"/>
    <w:rsid w:val="00494EBB"/>
    <w:rsid w:val="004A004E"/>
    <w:rsid w:val="004A24CF"/>
    <w:rsid w:val="004B5627"/>
    <w:rsid w:val="004C3D1D"/>
    <w:rsid w:val="004C3D84"/>
    <w:rsid w:val="004C6636"/>
    <w:rsid w:val="004C7913"/>
    <w:rsid w:val="004D23C2"/>
    <w:rsid w:val="004D7876"/>
    <w:rsid w:val="004E4DD6"/>
    <w:rsid w:val="004F2305"/>
    <w:rsid w:val="004F53CF"/>
    <w:rsid w:val="004F5E36"/>
    <w:rsid w:val="00507B47"/>
    <w:rsid w:val="00507BEF"/>
    <w:rsid w:val="00507CC9"/>
    <w:rsid w:val="005119A5"/>
    <w:rsid w:val="00515AD4"/>
    <w:rsid w:val="005168D1"/>
    <w:rsid w:val="00516AAC"/>
    <w:rsid w:val="00521C57"/>
    <w:rsid w:val="005278B7"/>
    <w:rsid w:val="00532016"/>
    <w:rsid w:val="005346C8"/>
    <w:rsid w:val="00543E7D"/>
    <w:rsid w:val="00546091"/>
    <w:rsid w:val="00547A68"/>
    <w:rsid w:val="00550018"/>
    <w:rsid w:val="005531C9"/>
    <w:rsid w:val="00570C43"/>
    <w:rsid w:val="00571D7F"/>
    <w:rsid w:val="00597A54"/>
    <w:rsid w:val="005A1150"/>
    <w:rsid w:val="005B2110"/>
    <w:rsid w:val="005B61E6"/>
    <w:rsid w:val="005C4659"/>
    <w:rsid w:val="005C58EC"/>
    <w:rsid w:val="005C77E1"/>
    <w:rsid w:val="005D25A6"/>
    <w:rsid w:val="005D2C7C"/>
    <w:rsid w:val="005D668A"/>
    <w:rsid w:val="005D6A2F"/>
    <w:rsid w:val="005E0753"/>
    <w:rsid w:val="005E1A82"/>
    <w:rsid w:val="005E794C"/>
    <w:rsid w:val="005F02CD"/>
    <w:rsid w:val="005F0A28"/>
    <w:rsid w:val="005F0E5E"/>
    <w:rsid w:val="00600535"/>
    <w:rsid w:val="00610CD6"/>
    <w:rsid w:val="00620DEE"/>
    <w:rsid w:val="00621F92"/>
    <w:rsid w:val="0062227E"/>
    <w:rsid w:val="0062280A"/>
    <w:rsid w:val="00625639"/>
    <w:rsid w:val="00631B33"/>
    <w:rsid w:val="00637E77"/>
    <w:rsid w:val="0064184D"/>
    <w:rsid w:val="006422CC"/>
    <w:rsid w:val="006565B3"/>
    <w:rsid w:val="00660E3E"/>
    <w:rsid w:val="00661C6E"/>
    <w:rsid w:val="006622A2"/>
    <w:rsid w:val="00662E74"/>
    <w:rsid w:val="00680C23"/>
    <w:rsid w:val="00683531"/>
    <w:rsid w:val="00693766"/>
    <w:rsid w:val="006A3281"/>
    <w:rsid w:val="006A6B5D"/>
    <w:rsid w:val="006B1C9B"/>
    <w:rsid w:val="006B4888"/>
    <w:rsid w:val="006C07EB"/>
    <w:rsid w:val="006C0E06"/>
    <w:rsid w:val="006C2E45"/>
    <w:rsid w:val="006C33FA"/>
    <w:rsid w:val="006C359C"/>
    <w:rsid w:val="006C5579"/>
    <w:rsid w:val="006D0D1F"/>
    <w:rsid w:val="006D170C"/>
    <w:rsid w:val="006D22AE"/>
    <w:rsid w:val="006D6E8B"/>
    <w:rsid w:val="006E737D"/>
    <w:rsid w:val="00713973"/>
    <w:rsid w:val="00715AEE"/>
    <w:rsid w:val="00720A24"/>
    <w:rsid w:val="00732386"/>
    <w:rsid w:val="0073514D"/>
    <w:rsid w:val="00741B00"/>
    <w:rsid w:val="00743620"/>
    <w:rsid w:val="007447F3"/>
    <w:rsid w:val="0075499F"/>
    <w:rsid w:val="00765B57"/>
    <w:rsid w:val="007661C8"/>
    <w:rsid w:val="0077098D"/>
    <w:rsid w:val="00791535"/>
    <w:rsid w:val="007931FA"/>
    <w:rsid w:val="007935B7"/>
    <w:rsid w:val="007945F4"/>
    <w:rsid w:val="00797592"/>
    <w:rsid w:val="007A38BF"/>
    <w:rsid w:val="007A4861"/>
    <w:rsid w:val="007A6563"/>
    <w:rsid w:val="007A7BBA"/>
    <w:rsid w:val="007B007A"/>
    <w:rsid w:val="007B0C50"/>
    <w:rsid w:val="007B48F9"/>
    <w:rsid w:val="007C1A43"/>
    <w:rsid w:val="007D0951"/>
    <w:rsid w:val="007D5121"/>
    <w:rsid w:val="007D608B"/>
    <w:rsid w:val="007F0475"/>
    <w:rsid w:val="007F114E"/>
    <w:rsid w:val="007F2AD0"/>
    <w:rsid w:val="007F4D95"/>
    <w:rsid w:val="0080013E"/>
    <w:rsid w:val="008001AE"/>
    <w:rsid w:val="00803413"/>
    <w:rsid w:val="0080497B"/>
    <w:rsid w:val="00804997"/>
    <w:rsid w:val="008061A8"/>
    <w:rsid w:val="00811CAA"/>
    <w:rsid w:val="00813288"/>
    <w:rsid w:val="008168FC"/>
    <w:rsid w:val="00830996"/>
    <w:rsid w:val="008345F1"/>
    <w:rsid w:val="00835B0D"/>
    <w:rsid w:val="0083709B"/>
    <w:rsid w:val="00841F78"/>
    <w:rsid w:val="00865B07"/>
    <w:rsid w:val="008667EA"/>
    <w:rsid w:val="0087637F"/>
    <w:rsid w:val="00881B19"/>
    <w:rsid w:val="00890B2F"/>
    <w:rsid w:val="00892AD5"/>
    <w:rsid w:val="00893FFC"/>
    <w:rsid w:val="008A1512"/>
    <w:rsid w:val="008B2E61"/>
    <w:rsid w:val="008B44C3"/>
    <w:rsid w:val="008B7C03"/>
    <w:rsid w:val="008C492A"/>
    <w:rsid w:val="008D32B9"/>
    <w:rsid w:val="008D433B"/>
    <w:rsid w:val="008D4A16"/>
    <w:rsid w:val="008E566E"/>
    <w:rsid w:val="0090161A"/>
    <w:rsid w:val="00901EB6"/>
    <w:rsid w:val="00904525"/>
    <w:rsid w:val="00904C62"/>
    <w:rsid w:val="009167C5"/>
    <w:rsid w:val="00922BA8"/>
    <w:rsid w:val="00924DAC"/>
    <w:rsid w:val="00927058"/>
    <w:rsid w:val="009324C9"/>
    <w:rsid w:val="00942750"/>
    <w:rsid w:val="009450CE"/>
    <w:rsid w:val="009459BB"/>
    <w:rsid w:val="00947179"/>
    <w:rsid w:val="0095164B"/>
    <w:rsid w:val="00953C30"/>
    <w:rsid w:val="00954090"/>
    <w:rsid w:val="009573E7"/>
    <w:rsid w:val="00963E05"/>
    <w:rsid w:val="00964A45"/>
    <w:rsid w:val="00967843"/>
    <w:rsid w:val="00967D54"/>
    <w:rsid w:val="00971028"/>
    <w:rsid w:val="00971187"/>
    <w:rsid w:val="00973F77"/>
    <w:rsid w:val="009909DB"/>
    <w:rsid w:val="00991EEE"/>
    <w:rsid w:val="00993843"/>
    <w:rsid w:val="00993A0F"/>
    <w:rsid w:val="00993B84"/>
    <w:rsid w:val="00996483"/>
    <w:rsid w:val="00996F5A"/>
    <w:rsid w:val="009A6D69"/>
    <w:rsid w:val="009B041A"/>
    <w:rsid w:val="009C270C"/>
    <w:rsid w:val="009C37C3"/>
    <w:rsid w:val="009C7C86"/>
    <w:rsid w:val="009D2FF7"/>
    <w:rsid w:val="009D5567"/>
    <w:rsid w:val="009E494D"/>
    <w:rsid w:val="009E5537"/>
    <w:rsid w:val="009E7884"/>
    <w:rsid w:val="009E788A"/>
    <w:rsid w:val="009F0E08"/>
    <w:rsid w:val="009F3E10"/>
    <w:rsid w:val="00A1763D"/>
    <w:rsid w:val="00A17CEC"/>
    <w:rsid w:val="00A20F2E"/>
    <w:rsid w:val="00A258C4"/>
    <w:rsid w:val="00A27EF0"/>
    <w:rsid w:val="00A42361"/>
    <w:rsid w:val="00A50B20"/>
    <w:rsid w:val="00A51390"/>
    <w:rsid w:val="00A55D29"/>
    <w:rsid w:val="00A60D13"/>
    <w:rsid w:val="00A628F4"/>
    <w:rsid w:val="00A6495A"/>
    <w:rsid w:val="00A71E2C"/>
    <w:rsid w:val="00A7223D"/>
    <w:rsid w:val="00A72745"/>
    <w:rsid w:val="00A76EFC"/>
    <w:rsid w:val="00A779AB"/>
    <w:rsid w:val="00A87D50"/>
    <w:rsid w:val="00A91010"/>
    <w:rsid w:val="00A92D73"/>
    <w:rsid w:val="00A932D1"/>
    <w:rsid w:val="00A97F29"/>
    <w:rsid w:val="00AA702E"/>
    <w:rsid w:val="00AA7D26"/>
    <w:rsid w:val="00AB0964"/>
    <w:rsid w:val="00AB28CC"/>
    <w:rsid w:val="00AB5011"/>
    <w:rsid w:val="00AC7368"/>
    <w:rsid w:val="00AD16B9"/>
    <w:rsid w:val="00AE0637"/>
    <w:rsid w:val="00AE377D"/>
    <w:rsid w:val="00AE7369"/>
    <w:rsid w:val="00AF0EBA"/>
    <w:rsid w:val="00AF3CA4"/>
    <w:rsid w:val="00B02C8A"/>
    <w:rsid w:val="00B0616C"/>
    <w:rsid w:val="00B11D19"/>
    <w:rsid w:val="00B17FBD"/>
    <w:rsid w:val="00B315A6"/>
    <w:rsid w:val="00B31813"/>
    <w:rsid w:val="00B33365"/>
    <w:rsid w:val="00B43BF2"/>
    <w:rsid w:val="00B45EC5"/>
    <w:rsid w:val="00B46A90"/>
    <w:rsid w:val="00B5357D"/>
    <w:rsid w:val="00B57B36"/>
    <w:rsid w:val="00B57E6F"/>
    <w:rsid w:val="00B8686D"/>
    <w:rsid w:val="00B87A2B"/>
    <w:rsid w:val="00B93F69"/>
    <w:rsid w:val="00B96B39"/>
    <w:rsid w:val="00BB1DDC"/>
    <w:rsid w:val="00BC30C9"/>
    <w:rsid w:val="00BD077D"/>
    <w:rsid w:val="00BE0B02"/>
    <w:rsid w:val="00BE3E58"/>
    <w:rsid w:val="00C01616"/>
    <w:rsid w:val="00C0162B"/>
    <w:rsid w:val="00C068ED"/>
    <w:rsid w:val="00C07B5E"/>
    <w:rsid w:val="00C22E0C"/>
    <w:rsid w:val="00C23C0E"/>
    <w:rsid w:val="00C345B1"/>
    <w:rsid w:val="00C40142"/>
    <w:rsid w:val="00C526B3"/>
    <w:rsid w:val="00C52C3C"/>
    <w:rsid w:val="00C52FEE"/>
    <w:rsid w:val="00C57182"/>
    <w:rsid w:val="00C57863"/>
    <w:rsid w:val="00C640AF"/>
    <w:rsid w:val="00C655FD"/>
    <w:rsid w:val="00C712D5"/>
    <w:rsid w:val="00C75407"/>
    <w:rsid w:val="00C76299"/>
    <w:rsid w:val="00C814A8"/>
    <w:rsid w:val="00C870A8"/>
    <w:rsid w:val="00C94434"/>
    <w:rsid w:val="00C9492A"/>
    <w:rsid w:val="00CA0D4A"/>
    <w:rsid w:val="00CA0D75"/>
    <w:rsid w:val="00CA1C95"/>
    <w:rsid w:val="00CA5A9C"/>
    <w:rsid w:val="00CB6D79"/>
    <w:rsid w:val="00CC4C20"/>
    <w:rsid w:val="00CD3517"/>
    <w:rsid w:val="00CD5FE2"/>
    <w:rsid w:val="00CE40CA"/>
    <w:rsid w:val="00CE7C68"/>
    <w:rsid w:val="00CF1991"/>
    <w:rsid w:val="00CF4346"/>
    <w:rsid w:val="00CF60D4"/>
    <w:rsid w:val="00D02B4C"/>
    <w:rsid w:val="00D040C4"/>
    <w:rsid w:val="00D068B8"/>
    <w:rsid w:val="00D20AD1"/>
    <w:rsid w:val="00D20F3D"/>
    <w:rsid w:val="00D42820"/>
    <w:rsid w:val="00D46B7E"/>
    <w:rsid w:val="00D535F8"/>
    <w:rsid w:val="00D568B2"/>
    <w:rsid w:val="00D57C84"/>
    <w:rsid w:val="00D6057D"/>
    <w:rsid w:val="00D60D03"/>
    <w:rsid w:val="00D648EC"/>
    <w:rsid w:val="00D662A4"/>
    <w:rsid w:val="00D704DD"/>
    <w:rsid w:val="00D71640"/>
    <w:rsid w:val="00D836C5"/>
    <w:rsid w:val="00D84576"/>
    <w:rsid w:val="00D94B68"/>
    <w:rsid w:val="00DA1399"/>
    <w:rsid w:val="00DA24C6"/>
    <w:rsid w:val="00DA4C92"/>
    <w:rsid w:val="00DA4D7B"/>
    <w:rsid w:val="00DD1EF6"/>
    <w:rsid w:val="00DD271C"/>
    <w:rsid w:val="00DE264A"/>
    <w:rsid w:val="00DF0D1D"/>
    <w:rsid w:val="00DF5072"/>
    <w:rsid w:val="00E02D18"/>
    <w:rsid w:val="00E041E7"/>
    <w:rsid w:val="00E14620"/>
    <w:rsid w:val="00E23CA1"/>
    <w:rsid w:val="00E33DD7"/>
    <w:rsid w:val="00E343C2"/>
    <w:rsid w:val="00E409A8"/>
    <w:rsid w:val="00E43A33"/>
    <w:rsid w:val="00E46005"/>
    <w:rsid w:val="00E50C12"/>
    <w:rsid w:val="00E50E91"/>
    <w:rsid w:val="00E623D8"/>
    <w:rsid w:val="00E6523D"/>
    <w:rsid w:val="00E65B91"/>
    <w:rsid w:val="00E668FF"/>
    <w:rsid w:val="00E7209D"/>
    <w:rsid w:val="00E72EAD"/>
    <w:rsid w:val="00E77223"/>
    <w:rsid w:val="00E8528B"/>
    <w:rsid w:val="00E85B94"/>
    <w:rsid w:val="00E978D0"/>
    <w:rsid w:val="00EA4613"/>
    <w:rsid w:val="00EA7F91"/>
    <w:rsid w:val="00EB1523"/>
    <w:rsid w:val="00EB3BF0"/>
    <w:rsid w:val="00EC0E49"/>
    <w:rsid w:val="00EC101F"/>
    <w:rsid w:val="00EC1D9F"/>
    <w:rsid w:val="00EC6234"/>
    <w:rsid w:val="00EE0131"/>
    <w:rsid w:val="00EE17B0"/>
    <w:rsid w:val="00EF06D9"/>
    <w:rsid w:val="00F17EE7"/>
    <w:rsid w:val="00F3049E"/>
    <w:rsid w:val="00F30C64"/>
    <w:rsid w:val="00F32BA2"/>
    <w:rsid w:val="00F32CDB"/>
    <w:rsid w:val="00F511AF"/>
    <w:rsid w:val="00F52BD4"/>
    <w:rsid w:val="00F54005"/>
    <w:rsid w:val="00F565FE"/>
    <w:rsid w:val="00F63A70"/>
    <w:rsid w:val="00F63D8C"/>
    <w:rsid w:val="00F7534E"/>
    <w:rsid w:val="00F93EDF"/>
    <w:rsid w:val="00FA1802"/>
    <w:rsid w:val="00FA21D0"/>
    <w:rsid w:val="00FA5F5F"/>
    <w:rsid w:val="00FB13D1"/>
    <w:rsid w:val="00FB6A93"/>
    <w:rsid w:val="00FB730C"/>
    <w:rsid w:val="00FC2695"/>
    <w:rsid w:val="00FC3E03"/>
    <w:rsid w:val="00FC3FC1"/>
    <w:rsid w:val="00FC555D"/>
    <w:rsid w:val="00FD1013"/>
    <w:rsid w:val="00FD6D60"/>
    <w:rsid w:val="00FF1491"/>
    <w:rsid w:val="00FF66C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FD043"/>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2227E"/>
    <w:pPr>
      <w:keepNext/>
      <w:tabs>
        <w:tab w:val="left" w:pos="426"/>
      </w:tabs>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2227E"/>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character" w:customStyle="1" w:styleId="q4iawc">
    <w:name w:val="q4iawc"/>
    <w:basedOn w:val="Carpredefinitoparagrafo"/>
    <w:rsid w:val="00D568B2"/>
  </w:style>
  <w:style w:type="table" w:styleId="Elencotabella3">
    <w:name w:val="Table List 3"/>
    <w:basedOn w:val="Tabellanormale"/>
    <w:rsid w:val="00D568B2"/>
    <w:rPr>
      <w:rFonts w:ascii="Times New Roman" w:eastAsia="Times New Roman" w:hAnsi="Times New Roman" w:cs="Times New Roman"/>
      <w:sz w:val="20"/>
      <w:szCs w:val="20"/>
      <w:lang w:eastAsia="it-I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Testosegnaposto">
    <w:name w:val="Placeholder Text"/>
    <w:basedOn w:val="Carpredefinitoparagrafo"/>
    <w:uiPriority w:val="99"/>
    <w:semiHidden/>
    <w:rsid w:val="00EC6234"/>
    <w:rPr>
      <w:color w:val="808080"/>
    </w:rPr>
  </w:style>
  <w:style w:type="paragraph" w:styleId="Revisione">
    <w:name w:val="Revision"/>
    <w:hidden/>
    <w:uiPriority w:val="99"/>
    <w:semiHidden/>
    <w:rsid w:val="00797592"/>
    <w:pPr>
      <w:spacing w:after="0" w:line="240" w:lineRule="auto"/>
    </w:pPr>
    <w:rPr>
      <w:rFonts w:ascii="Arial" w:eastAsia="Times New Roman" w:hAnsi="Arial" w:cs="Times New Roman"/>
      <w:sz w:val="18"/>
      <w:szCs w:val="20"/>
      <w:lang w:val="en-GB"/>
    </w:rPr>
  </w:style>
  <w:style w:type="character" w:customStyle="1" w:styleId="MenoNoResolvida1">
    <w:name w:val="Menção Não Resolvida1"/>
    <w:basedOn w:val="Carpredefinitoparagrafo"/>
    <w:uiPriority w:val="99"/>
    <w:semiHidden/>
    <w:unhideWhenUsed/>
    <w:rsid w:val="00661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102">
      <w:bodyDiv w:val="1"/>
      <w:marLeft w:val="0"/>
      <w:marRight w:val="0"/>
      <w:marTop w:val="0"/>
      <w:marBottom w:val="0"/>
      <w:divBdr>
        <w:top w:val="none" w:sz="0" w:space="0" w:color="auto"/>
        <w:left w:val="none" w:sz="0" w:space="0" w:color="auto"/>
        <w:bottom w:val="none" w:sz="0" w:space="0" w:color="auto"/>
        <w:right w:val="none" w:sz="0" w:space="0" w:color="auto"/>
      </w:divBdr>
      <w:divsChild>
        <w:div w:id="1101023647">
          <w:marLeft w:val="0"/>
          <w:marRight w:val="0"/>
          <w:marTop w:val="0"/>
          <w:marBottom w:val="0"/>
          <w:divBdr>
            <w:top w:val="none" w:sz="0" w:space="0" w:color="auto"/>
            <w:left w:val="none" w:sz="0" w:space="0" w:color="auto"/>
            <w:bottom w:val="none" w:sz="0" w:space="0" w:color="auto"/>
            <w:right w:val="none" w:sz="0" w:space="0" w:color="auto"/>
          </w:divBdr>
          <w:divsChild>
            <w:div w:id="1801419923">
              <w:marLeft w:val="0"/>
              <w:marRight w:val="0"/>
              <w:marTop w:val="0"/>
              <w:marBottom w:val="0"/>
              <w:divBdr>
                <w:top w:val="none" w:sz="0" w:space="0" w:color="auto"/>
                <w:left w:val="none" w:sz="0" w:space="0" w:color="auto"/>
                <w:bottom w:val="none" w:sz="0" w:space="0" w:color="auto"/>
                <w:right w:val="none" w:sz="0" w:space="0" w:color="auto"/>
              </w:divBdr>
              <w:divsChild>
                <w:div w:id="20270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02">
      <w:bodyDiv w:val="1"/>
      <w:marLeft w:val="0"/>
      <w:marRight w:val="0"/>
      <w:marTop w:val="0"/>
      <w:marBottom w:val="0"/>
      <w:divBdr>
        <w:top w:val="none" w:sz="0" w:space="0" w:color="auto"/>
        <w:left w:val="none" w:sz="0" w:space="0" w:color="auto"/>
        <w:bottom w:val="none" w:sz="0" w:space="0" w:color="auto"/>
        <w:right w:val="none" w:sz="0" w:space="0" w:color="auto"/>
      </w:divBdr>
      <w:divsChild>
        <w:div w:id="259336618">
          <w:marLeft w:val="0"/>
          <w:marRight w:val="0"/>
          <w:marTop w:val="0"/>
          <w:marBottom w:val="0"/>
          <w:divBdr>
            <w:top w:val="none" w:sz="0" w:space="0" w:color="auto"/>
            <w:left w:val="none" w:sz="0" w:space="0" w:color="auto"/>
            <w:bottom w:val="none" w:sz="0" w:space="0" w:color="auto"/>
            <w:right w:val="none" w:sz="0" w:space="0" w:color="auto"/>
          </w:divBdr>
          <w:divsChild>
            <w:div w:id="1569611579">
              <w:marLeft w:val="0"/>
              <w:marRight w:val="0"/>
              <w:marTop w:val="0"/>
              <w:marBottom w:val="0"/>
              <w:divBdr>
                <w:top w:val="none" w:sz="0" w:space="0" w:color="auto"/>
                <w:left w:val="none" w:sz="0" w:space="0" w:color="auto"/>
                <w:bottom w:val="none" w:sz="0" w:space="0" w:color="auto"/>
                <w:right w:val="none" w:sz="0" w:space="0" w:color="auto"/>
              </w:divBdr>
              <w:divsChild>
                <w:div w:id="18574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1930">
      <w:bodyDiv w:val="1"/>
      <w:marLeft w:val="0"/>
      <w:marRight w:val="0"/>
      <w:marTop w:val="0"/>
      <w:marBottom w:val="0"/>
      <w:divBdr>
        <w:top w:val="none" w:sz="0" w:space="0" w:color="auto"/>
        <w:left w:val="none" w:sz="0" w:space="0" w:color="auto"/>
        <w:bottom w:val="none" w:sz="0" w:space="0" w:color="auto"/>
        <w:right w:val="none" w:sz="0" w:space="0" w:color="auto"/>
      </w:divBdr>
      <w:divsChild>
        <w:div w:id="1799950437">
          <w:marLeft w:val="0"/>
          <w:marRight w:val="0"/>
          <w:marTop w:val="0"/>
          <w:marBottom w:val="0"/>
          <w:divBdr>
            <w:top w:val="none" w:sz="0" w:space="0" w:color="auto"/>
            <w:left w:val="none" w:sz="0" w:space="0" w:color="auto"/>
            <w:bottom w:val="none" w:sz="0" w:space="0" w:color="auto"/>
            <w:right w:val="none" w:sz="0" w:space="0" w:color="auto"/>
          </w:divBdr>
          <w:divsChild>
            <w:div w:id="459036107">
              <w:marLeft w:val="0"/>
              <w:marRight w:val="0"/>
              <w:marTop w:val="0"/>
              <w:marBottom w:val="0"/>
              <w:divBdr>
                <w:top w:val="none" w:sz="0" w:space="0" w:color="auto"/>
                <w:left w:val="none" w:sz="0" w:space="0" w:color="auto"/>
                <w:bottom w:val="none" w:sz="0" w:space="0" w:color="auto"/>
                <w:right w:val="none" w:sz="0" w:space="0" w:color="auto"/>
              </w:divBdr>
              <w:divsChild>
                <w:div w:id="21399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9297">
      <w:bodyDiv w:val="1"/>
      <w:marLeft w:val="0"/>
      <w:marRight w:val="0"/>
      <w:marTop w:val="0"/>
      <w:marBottom w:val="0"/>
      <w:divBdr>
        <w:top w:val="none" w:sz="0" w:space="0" w:color="auto"/>
        <w:left w:val="none" w:sz="0" w:space="0" w:color="auto"/>
        <w:bottom w:val="none" w:sz="0" w:space="0" w:color="auto"/>
        <w:right w:val="none" w:sz="0" w:space="0" w:color="auto"/>
      </w:divBdr>
      <w:divsChild>
        <w:div w:id="82730071">
          <w:marLeft w:val="0"/>
          <w:marRight w:val="0"/>
          <w:marTop w:val="0"/>
          <w:marBottom w:val="0"/>
          <w:divBdr>
            <w:top w:val="none" w:sz="0" w:space="0" w:color="auto"/>
            <w:left w:val="none" w:sz="0" w:space="0" w:color="auto"/>
            <w:bottom w:val="none" w:sz="0" w:space="0" w:color="auto"/>
            <w:right w:val="none" w:sz="0" w:space="0" w:color="auto"/>
          </w:divBdr>
          <w:divsChild>
            <w:div w:id="399448022">
              <w:marLeft w:val="0"/>
              <w:marRight w:val="0"/>
              <w:marTop w:val="0"/>
              <w:marBottom w:val="0"/>
              <w:divBdr>
                <w:top w:val="none" w:sz="0" w:space="0" w:color="auto"/>
                <w:left w:val="none" w:sz="0" w:space="0" w:color="auto"/>
                <w:bottom w:val="none" w:sz="0" w:space="0" w:color="auto"/>
                <w:right w:val="none" w:sz="0" w:space="0" w:color="auto"/>
              </w:divBdr>
              <w:divsChild>
                <w:div w:id="13514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6209">
      <w:bodyDiv w:val="1"/>
      <w:marLeft w:val="0"/>
      <w:marRight w:val="0"/>
      <w:marTop w:val="0"/>
      <w:marBottom w:val="0"/>
      <w:divBdr>
        <w:top w:val="none" w:sz="0" w:space="0" w:color="auto"/>
        <w:left w:val="none" w:sz="0" w:space="0" w:color="auto"/>
        <w:bottom w:val="none" w:sz="0" w:space="0" w:color="auto"/>
        <w:right w:val="none" w:sz="0" w:space="0" w:color="auto"/>
      </w:divBdr>
      <w:divsChild>
        <w:div w:id="1881817530">
          <w:marLeft w:val="0"/>
          <w:marRight w:val="0"/>
          <w:marTop w:val="0"/>
          <w:marBottom w:val="0"/>
          <w:divBdr>
            <w:top w:val="none" w:sz="0" w:space="0" w:color="auto"/>
            <w:left w:val="none" w:sz="0" w:space="0" w:color="auto"/>
            <w:bottom w:val="none" w:sz="0" w:space="0" w:color="auto"/>
            <w:right w:val="none" w:sz="0" w:space="0" w:color="auto"/>
          </w:divBdr>
          <w:divsChild>
            <w:div w:id="1478372755">
              <w:marLeft w:val="0"/>
              <w:marRight w:val="0"/>
              <w:marTop w:val="0"/>
              <w:marBottom w:val="0"/>
              <w:divBdr>
                <w:top w:val="none" w:sz="0" w:space="0" w:color="auto"/>
                <w:left w:val="none" w:sz="0" w:space="0" w:color="auto"/>
                <w:bottom w:val="none" w:sz="0" w:space="0" w:color="auto"/>
                <w:right w:val="none" w:sz="0" w:space="0" w:color="auto"/>
              </w:divBdr>
              <w:divsChild>
                <w:div w:id="2934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1514">
      <w:bodyDiv w:val="1"/>
      <w:marLeft w:val="0"/>
      <w:marRight w:val="0"/>
      <w:marTop w:val="0"/>
      <w:marBottom w:val="0"/>
      <w:divBdr>
        <w:top w:val="none" w:sz="0" w:space="0" w:color="auto"/>
        <w:left w:val="none" w:sz="0" w:space="0" w:color="auto"/>
        <w:bottom w:val="none" w:sz="0" w:space="0" w:color="auto"/>
        <w:right w:val="none" w:sz="0" w:space="0" w:color="auto"/>
      </w:divBdr>
    </w:div>
    <w:div w:id="386075198">
      <w:bodyDiv w:val="1"/>
      <w:marLeft w:val="0"/>
      <w:marRight w:val="0"/>
      <w:marTop w:val="0"/>
      <w:marBottom w:val="0"/>
      <w:divBdr>
        <w:top w:val="none" w:sz="0" w:space="0" w:color="auto"/>
        <w:left w:val="none" w:sz="0" w:space="0" w:color="auto"/>
        <w:bottom w:val="none" w:sz="0" w:space="0" w:color="auto"/>
        <w:right w:val="none" w:sz="0" w:space="0" w:color="auto"/>
      </w:divBdr>
    </w:div>
    <w:div w:id="639381039">
      <w:bodyDiv w:val="1"/>
      <w:marLeft w:val="0"/>
      <w:marRight w:val="0"/>
      <w:marTop w:val="0"/>
      <w:marBottom w:val="0"/>
      <w:divBdr>
        <w:top w:val="none" w:sz="0" w:space="0" w:color="auto"/>
        <w:left w:val="none" w:sz="0" w:space="0" w:color="auto"/>
        <w:bottom w:val="none" w:sz="0" w:space="0" w:color="auto"/>
        <w:right w:val="none" w:sz="0" w:space="0" w:color="auto"/>
      </w:divBdr>
      <w:divsChild>
        <w:div w:id="397367343">
          <w:marLeft w:val="0"/>
          <w:marRight w:val="0"/>
          <w:marTop w:val="0"/>
          <w:marBottom w:val="0"/>
          <w:divBdr>
            <w:top w:val="none" w:sz="0" w:space="0" w:color="auto"/>
            <w:left w:val="none" w:sz="0" w:space="0" w:color="auto"/>
            <w:bottom w:val="none" w:sz="0" w:space="0" w:color="auto"/>
            <w:right w:val="none" w:sz="0" w:space="0" w:color="auto"/>
          </w:divBdr>
          <w:divsChild>
            <w:div w:id="1566406805">
              <w:marLeft w:val="0"/>
              <w:marRight w:val="0"/>
              <w:marTop w:val="0"/>
              <w:marBottom w:val="0"/>
              <w:divBdr>
                <w:top w:val="none" w:sz="0" w:space="0" w:color="auto"/>
                <w:left w:val="none" w:sz="0" w:space="0" w:color="auto"/>
                <w:bottom w:val="none" w:sz="0" w:space="0" w:color="auto"/>
                <w:right w:val="none" w:sz="0" w:space="0" w:color="auto"/>
              </w:divBdr>
              <w:divsChild>
                <w:div w:id="19938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67434">
      <w:bodyDiv w:val="1"/>
      <w:marLeft w:val="0"/>
      <w:marRight w:val="0"/>
      <w:marTop w:val="0"/>
      <w:marBottom w:val="0"/>
      <w:divBdr>
        <w:top w:val="none" w:sz="0" w:space="0" w:color="auto"/>
        <w:left w:val="none" w:sz="0" w:space="0" w:color="auto"/>
        <w:bottom w:val="none" w:sz="0" w:space="0" w:color="auto"/>
        <w:right w:val="none" w:sz="0" w:space="0" w:color="auto"/>
      </w:divBdr>
      <w:divsChild>
        <w:div w:id="601495918">
          <w:marLeft w:val="0"/>
          <w:marRight w:val="0"/>
          <w:marTop w:val="0"/>
          <w:marBottom w:val="0"/>
          <w:divBdr>
            <w:top w:val="none" w:sz="0" w:space="0" w:color="auto"/>
            <w:left w:val="none" w:sz="0" w:space="0" w:color="auto"/>
            <w:bottom w:val="none" w:sz="0" w:space="0" w:color="auto"/>
            <w:right w:val="none" w:sz="0" w:space="0" w:color="auto"/>
          </w:divBdr>
          <w:divsChild>
            <w:div w:id="283387224">
              <w:marLeft w:val="0"/>
              <w:marRight w:val="0"/>
              <w:marTop w:val="0"/>
              <w:marBottom w:val="0"/>
              <w:divBdr>
                <w:top w:val="none" w:sz="0" w:space="0" w:color="auto"/>
                <w:left w:val="none" w:sz="0" w:space="0" w:color="auto"/>
                <w:bottom w:val="none" w:sz="0" w:space="0" w:color="auto"/>
                <w:right w:val="none" w:sz="0" w:space="0" w:color="auto"/>
              </w:divBdr>
              <w:divsChild>
                <w:div w:id="10408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6161">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2344">
      <w:bodyDiv w:val="1"/>
      <w:marLeft w:val="0"/>
      <w:marRight w:val="0"/>
      <w:marTop w:val="0"/>
      <w:marBottom w:val="0"/>
      <w:divBdr>
        <w:top w:val="none" w:sz="0" w:space="0" w:color="auto"/>
        <w:left w:val="none" w:sz="0" w:space="0" w:color="auto"/>
        <w:bottom w:val="none" w:sz="0" w:space="0" w:color="auto"/>
        <w:right w:val="none" w:sz="0" w:space="0" w:color="auto"/>
      </w:divBdr>
      <w:divsChild>
        <w:div w:id="873810514">
          <w:marLeft w:val="0"/>
          <w:marRight w:val="0"/>
          <w:marTop w:val="0"/>
          <w:marBottom w:val="0"/>
          <w:divBdr>
            <w:top w:val="none" w:sz="0" w:space="0" w:color="auto"/>
            <w:left w:val="none" w:sz="0" w:space="0" w:color="auto"/>
            <w:bottom w:val="none" w:sz="0" w:space="0" w:color="auto"/>
            <w:right w:val="none" w:sz="0" w:space="0" w:color="auto"/>
          </w:divBdr>
          <w:divsChild>
            <w:div w:id="1274828107">
              <w:marLeft w:val="0"/>
              <w:marRight w:val="0"/>
              <w:marTop w:val="0"/>
              <w:marBottom w:val="0"/>
              <w:divBdr>
                <w:top w:val="none" w:sz="0" w:space="0" w:color="auto"/>
                <w:left w:val="none" w:sz="0" w:space="0" w:color="auto"/>
                <w:bottom w:val="none" w:sz="0" w:space="0" w:color="auto"/>
                <w:right w:val="none" w:sz="0" w:space="0" w:color="auto"/>
              </w:divBdr>
              <w:divsChild>
                <w:div w:id="1113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57621">
      <w:bodyDiv w:val="1"/>
      <w:marLeft w:val="0"/>
      <w:marRight w:val="0"/>
      <w:marTop w:val="0"/>
      <w:marBottom w:val="0"/>
      <w:divBdr>
        <w:top w:val="none" w:sz="0" w:space="0" w:color="auto"/>
        <w:left w:val="none" w:sz="0" w:space="0" w:color="auto"/>
        <w:bottom w:val="none" w:sz="0" w:space="0" w:color="auto"/>
        <w:right w:val="none" w:sz="0" w:space="0" w:color="auto"/>
      </w:divBdr>
      <w:divsChild>
        <w:div w:id="1075084502">
          <w:marLeft w:val="0"/>
          <w:marRight w:val="0"/>
          <w:marTop w:val="0"/>
          <w:marBottom w:val="0"/>
          <w:divBdr>
            <w:top w:val="none" w:sz="0" w:space="0" w:color="auto"/>
            <w:left w:val="none" w:sz="0" w:space="0" w:color="auto"/>
            <w:bottom w:val="none" w:sz="0" w:space="0" w:color="auto"/>
            <w:right w:val="none" w:sz="0" w:space="0" w:color="auto"/>
          </w:divBdr>
          <w:divsChild>
            <w:div w:id="1255555899">
              <w:marLeft w:val="0"/>
              <w:marRight w:val="0"/>
              <w:marTop w:val="0"/>
              <w:marBottom w:val="0"/>
              <w:divBdr>
                <w:top w:val="none" w:sz="0" w:space="0" w:color="auto"/>
                <w:left w:val="none" w:sz="0" w:space="0" w:color="auto"/>
                <w:bottom w:val="none" w:sz="0" w:space="0" w:color="auto"/>
                <w:right w:val="none" w:sz="0" w:space="0" w:color="auto"/>
              </w:divBdr>
              <w:divsChild>
                <w:div w:id="9720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8482">
      <w:bodyDiv w:val="1"/>
      <w:marLeft w:val="0"/>
      <w:marRight w:val="0"/>
      <w:marTop w:val="0"/>
      <w:marBottom w:val="0"/>
      <w:divBdr>
        <w:top w:val="none" w:sz="0" w:space="0" w:color="auto"/>
        <w:left w:val="none" w:sz="0" w:space="0" w:color="auto"/>
        <w:bottom w:val="none" w:sz="0" w:space="0" w:color="auto"/>
        <w:right w:val="none" w:sz="0" w:space="0" w:color="auto"/>
      </w:divBdr>
      <w:divsChild>
        <w:div w:id="964655701">
          <w:marLeft w:val="0"/>
          <w:marRight w:val="0"/>
          <w:marTop w:val="0"/>
          <w:marBottom w:val="0"/>
          <w:divBdr>
            <w:top w:val="none" w:sz="0" w:space="0" w:color="auto"/>
            <w:left w:val="none" w:sz="0" w:space="0" w:color="auto"/>
            <w:bottom w:val="none" w:sz="0" w:space="0" w:color="auto"/>
            <w:right w:val="none" w:sz="0" w:space="0" w:color="auto"/>
          </w:divBdr>
          <w:divsChild>
            <w:div w:id="586767284">
              <w:marLeft w:val="0"/>
              <w:marRight w:val="0"/>
              <w:marTop w:val="0"/>
              <w:marBottom w:val="0"/>
              <w:divBdr>
                <w:top w:val="none" w:sz="0" w:space="0" w:color="auto"/>
                <w:left w:val="none" w:sz="0" w:space="0" w:color="auto"/>
                <w:bottom w:val="none" w:sz="0" w:space="0" w:color="auto"/>
                <w:right w:val="none" w:sz="0" w:space="0" w:color="auto"/>
              </w:divBdr>
              <w:divsChild>
                <w:div w:id="17878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60348">
      <w:bodyDiv w:val="1"/>
      <w:marLeft w:val="0"/>
      <w:marRight w:val="0"/>
      <w:marTop w:val="0"/>
      <w:marBottom w:val="0"/>
      <w:divBdr>
        <w:top w:val="none" w:sz="0" w:space="0" w:color="auto"/>
        <w:left w:val="none" w:sz="0" w:space="0" w:color="auto"/>
        <w:bottom w:val="none" w:sz="0" w:space="0" w:color="auto"/>
        <w:right w:val="none" w:sz="0" w:space="0" w:color="auto"/>
      </w:divBdr>
    </w:div>
    <w:div w:id="1310014326">
      <w:bodyDiv w:val="1"/>
      <w:marLeft w:val="0"/>
      <w:marRight w:val="0"/>
      <w:marTop w:val="0"/>
      <w:marBottom w:val="0"/>
      <w:divBdr>
        <w:top w:val="none" w:sz="0" w:space="0" w:color="auto"/>
        <w:left w:val="none" w:sz="0" w:space="0" w:color="auto"/>
        <w:bottom w:val="none" w:sz="0" w:space="0" w:color="auto"/>
        <w:right w:val="none" w:sz="0" w:space="0" w:color="auto"/>
      </w:divBdr>
      <w:divsChild>
        <w:div w:id="385177818">
          <w:marLeft w:val="0"/>
          <w:marRight w:val="0"/>
          <w:marTop w:val="0"/>
          <w:marBottom w:val="0"/>
          <w:divBdr>
            <w:top w:val="none" w:sz="0" w:space="0" w:color="auto"/>
            <w:left w:val="none" w:sz="0" w:space="0" w:color="auto"/>
            <w:bottom w:val="none" w:sz="0" w:space="0" w:color="auto"/>
            <w:right w:val="none" w:sz="0" w:space="0" w:color="auto"/>
          </w:divBdr>
          <w:divsChild>
            <w:div w:id="269044932">
              <w:marLeft w:val="0"/>
              <w:marRight w:val="0"/>
              <w:marTop w:val="0"/>
              <w:marBottom w:val="0"/>
              <w:divBdr>
                <w:top w:val="none" w:sz="0" w:space="0" w:color="auto"/>
                <w:left w:val="none" w:sz="0" w:space="0" w:color="auto"/>
                <w:bottom w:val="none" w:sz="0" w:space="0" w:color="auto"/>
                <w:right w:val="none" w:sz="0" w:space="0" w:color="auto"/>
              </w:divBdr>
              <w:divsChild>
                <w:div w:id="6182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45892337">
      <w:bodyDiv w:val="1"/>
      <w:marLeft w:val="0"/>
      <w:marRight w:val="0"/>
      <w:marTop w:val="0"/>
      <w:marBottom w:val="0"/>
      <w:divBdr>
        <w:top w:val="none" w:sz="0" w:space="0" w:color="auto"/>
        <w:left w:val="none" w:sz="0" w:space="0" w:color="auto"/>
        <w:bottom w:val="none" w:sz="0" w:space="0" w:color="auto"/>
        <w:right w:val="none" w:sz="0" w:space="0" w:color="auto"/>
      </w:divBdr>
      <w:divsChild>
        <w:div w:id="69350630">
          <w:marLeft w:val="0"/>
          <w:marRight w:val="0"/>
          <w:marTop w:val="0"/>
          <w:marBottom w:val="0"/>
          <w:divBdr>
            <w:top w:val="none" w:sz="0" w:space="0" w:color="auto"/>
            <w:left w:val="none" w:sz="0" w:space="0" w:color="auto"/>
            <w:bottom w:val="none" w:sz="0" w:space="0" w:color="auto"/>
            <w:right w:val="none" w:sz="0" w:space="0" w:color="auto"/>
          </w:divBdr>
          <w:divsChild>
            <w:div w:id="1537693062">
              <w:marLeft w:val="0"/>
              <w:marRight w:val="0"/>
              <w:marTop w:val="0"/>
              <w:marBottom w:val="0"/>
              <w:divBdr>
                <w:top w:val="none" w:sz="0" w:space="0" w:color="auto"/>
                <w:left w:val="none" w:sz="0" w:space="0" w:color="auto"/>
                <w:bottom w:val="none" w:sz="0" w:space="0" w:color="auto"/>
                <w:right w:val="none" w:sz="0" w:space="0" w:color="auto"/>
              </w:divBdr>
              <w:divsChild>
                <w:div w:id="6669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6653">
      <w:bodyDiv w:val="1"/>
      <w:marLeft w:val="0"/>
      <w:marRight w:val="0"/>
      <w:marTop w:val="0"/>
      <w:marBottom w:val="0"/>
      <w:divBdr>
        <w:top w:val="none" w:sz="0" w:space="0" w:color="auto"/>
        <w:left w:val="none" w:sz="0" w:space="0" w:color="auto"/>
        <w:bottom w:val="none" w:sz="0" w:space="0" w:color="auto"/>
        <w:right w:val="none" w:sz="0" w:space="0" w:color="auto"/>
      </w:divBdr>
      <w:divsChild>
        <w:div w:id="457843300">
          <w:marLeft w:val="0"/>
          <w:marRight w:val="0"/>
          <w:marTop w:val="0"/>
          <w:marBottom w:val="0"/>
          <w:divBdr>
            <w:top w:val="none" w:sz="0" w:space="0" w:color="auto"/>
            <w:left w:val="none" w:sz="0" w:space="0" w:color="auto"/>
            <w:bottom w:val="none" w:sz="0" w:space="0" w:color="auto"/>
            <w:right w:val="none" w:sz="0" w:space="0" w:color="auto"/>
          </w:divBdr>
          <w:divsChild>
            <w:div w:id="1031613110">
              <w:marLeft w:val="0"/>
              <w:marRight w:val="0"/>
              <w:marTop w:val="0"/>
              <w:marBottom w:val="0"/>
              <w:divBdr>
                <w:top w:val="none" w:sz="0" w:space="0" w:color="auto"/>
                <w:left w:val="none" w:sz="0" w:space="0" w:color="auto"/>
                <w:bottom w:val="none" w:sz="0" w:space="0" w:color="auto"/>
                <w:right w:val="none" w:sz="0" w:space="0" w:color="auto"/>
              </w:divBdr>
              <w:divsChild>
                <w:div w:id="19357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1190">
      <w:bodyDiv w:val="1"/>
      <w:marLeft w:val="0"/>
      <w:marRight w:val="0"/>
      <w:marTop w:val="0"/>
      <w:marBottom w:val="0"/>
      <w:divBdr>
        <w:top w:val="none" w:sz="0" w:space="0" w:color="auto"/>
        <w:left w:val="none" w:sz="0" w:space="0" w:color="auto"/>
        <w:bottom w:val="none" w:sz="0" w:space="0" w:color="auto"/>
        <w:right w:val="none" w:sz="0" w:space="0" w:color="auto"/>
      </w:divBdr>
    </w:div>
    <w:div w:id="1734768979">
      <w:bodyDiv w:val="1"/>
      <w:marLeft w:val="0"/>
      <w:marRight w:val="0"/>
      <w:marTop w:val="0"/>
      <w:marBottom w:val="0"/>
      <w:divBdr>
        <w:top w:val="none" w:sz="0" w:space="0" w:color="auto"/>
        <w:left w:val="none" w:sz="0" w:space="0" w:color="auto"/>
        <w:bottom w:val="none" w:sz="0" w:space="0" w:color="auto"/>
        <w:right w:val="none" w:sz="0" w:space="0" w:color="auto"/>
      </w:divBdr>
      <w:divsChild>
        <w:div w:id="1050684999">
          <w:marLeft w:val="0"/>
          <w:marRight w:val="0"/>
          <w:marTop w:val="0"/>
          <w:marBottom w:val="0"/>
          <w:divBdr>
            <w:top w:val="none" w:sz="0" w:space="0" w:color="auto"/>
            <w:left w:val="none" w:sz="0" w:space="0" w:color="auto"/>
            <w:bottom w:val="none" w:sz="0" w:space="0" w:color="auto"/>
            <w:right w:val="none" w:sz="0" w:space="0" w:color="auto"/>
          </w:divBdr>
          <w:divsChild>
            <w:div w:id="831141143">
              <w:marLeft w:val="0"/>
              <w:marRight w:val="0"/>
              <w:marTop w:val="0"/>
              <w:marBottom w:val="0"/>
              <w:divBdr>
                <w:top w:val="none" w:sz="0" w:space="0" w:color="auto"/>
                <w:left w:val="none" w:sz="0" w:space="0" w:color="auto"/>
                <w:bottom w:val="none" w:sz="0" w:space="0" w:color="auto"/>
                <w:right w:val="none" w:sz="0" w:space="0" w:color="auto"/>
              </w:divBdr>
              <w:divsChild>
                <w:div w:id="5707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8234">
      <w:bodyDiv w:val="1"/>
      <w:marLeft w:val="0"/>
      <w:marRight w:val="0"/>
      <w:marTop w:val="0"/>
      <w:marBottom w:val="0"/>
      <w:divBdr>
        <w:top w:val="none" w:sz="0" w:space="0" w:color="auto"/>
        <w:left w:val="none" w:sz="0" w:space="0" w:color="auto"/>
        <w:bottom w:val="none" w:sz="0" w:space="0" w:color="auto"/>
        <w:right w:val="none" w:sz="0" w:space="0" w:color="auto"/>
      </w:divBdr>
      <w:divsChild>
        <w:div w:id="1178038206">
          <w:marLeft w:val="0"/>
          <w:marRight w:val="0"/>
          <w:marTop w:val="0"/>
          <w:marBottom w:val="0"/>
          <w:divBdr>
            <w:top w:val="none" w:sz="0" w:space="0" w:color="auto"/>
            <w:left w:val="none" w:sz="0" w:space="0" w:color="auto"/>
            <w:bottom w:val="none" w:sz="0" w:space="0" w:color="auto"/>
            <w:right w:val="none" w:sz="0" w:space="0" w:color="auto"/>
          </w:divBdr>
          <w:divsChild>
            <w:div w:id="434255911">
              <w:marLeft w:val="0"/>
              <w:marRight w:val="0"/>
              <w:marTop w:val="0"/>
              <w:marBottom w:val="0"/>
              <w:divBdr>
                <w:top w:val="none" w:sz="0" w:space="0" w:color="auto"/>
                <w:left w:val="none" w:sz="0" w:space="0" w:color="auto"/>
                <w:bottom w:val="none" w:sz="0" w:space="0" w:color="auto"/>
                <w:right w:val="none" w:sz="0" w:space="0" w:color="auto"/>
              </w:divBdr>
              <w:divsChild>
                <w:div w:id="19735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50191">
      <w:bodyDiv w:val="1"/>
      <w:marLeft w:val="0"/>
      <w:marRight w:val="0"/>
      <w:marTop w:val="0"/>
      <w:marBottom w:val="0"/>
      <w:divBdr>
        <w:top w:val="none" w:sz="0" w:space="0" w:color="auto"/>
        <w:left w:val="none" w:sz="0" w:space="0" w:color="auto"/>
        <w:bottom w:val="none" w:sz="0" w:space="0" w:color="auto"/>
        <w:right w:val="none" w:sz="0" w:space="0" w:color="auto"/>
      </w:divBdr>
    </w:div>
    <w:div w:id="1883904842">
      <w:bodyDiv w:val="1"/>
      <w:marLeft w:val="0"/>
      <w:marRight w:val="0"/>
      <w:marTop w:val="0"/>
      <w:marBottom w:val="0"/>
      <w:divBdr>
        <w:top w:val="none" w:sz="0" w:space="0" w:color="auto"/>
        <w:left w:val="none" w:sz="0" w:space="0" w:color="auto"/>
        <w:bottom w:val="none" w:sz="0" w:space="0" w:color="auto"/>
        <w:right w:val="none" w:sz="0" w:space="0" w:color="auto"/>
      </w:divBdr>
    </w:div>
    <w:div w:id="1886790741">
      <w:bodyDiv w:val="1"/>
      <w:marLeft w:val="0"/>
      <w:marRight w:val="0"/>
      <w:marTop w:val="0"/>
      <w:marBottom w:val="0"/>
      <w:divBdr>
        <w:top w:val="none" w:sz="0" w:space="0" w:color="auto"/>
        <w:left w:val="none" w:sz="0" w:space="0" w:color="auto"/>
        <w:bottom w:val="none" w:sz="0" w:space="0" w:color="auto"/>
        <w:right w:val="none" w:sz="0" w:space="0" w:color="auto"/>
      </w:divBdr>
      <w:divsChild>
        <w:div w:id="961155073">
          <w:marLeft w:val="0"/>
          <w:marRight w:val="0"/>
          <w:marTop w:val="0"/>
          <w:marBottom w:val="0"/>
          <w:divBdr>
            <w:top w:val="none" w:sz="0" w:space="0" w:color="auto"/>
            <w:left w:val="none" w:sz="0" w:space="0" w:color="auto"/>
            <w:bottom w:val="none" w:sz="0" w:space="0" w:color="auto"/>
            <w:right w:val="none" w:sz="0" w:space="0" w:color="auto"/>
          </w:divBdr>
          <w:divsChild>
            <w:div w:id="1844123938">
              <w:marLeft w:val="0"/>
              <w:marRight w:val="0"/>
              <w:marTop w:val="0"/>
              <w:marBottom w:val="0"/>
              <w:divBdr>
                <w:top w:val="none" w:sz="0" w:space="0" w:color="auto"/>
                <w:left w:val="none" w:sz="0" w:space="0" w:color="auto"/>
                <w:bottom w:val="none" w:sz="0" w:space="0" w:color="auto"/>
                <w:right w:val="none" w:sz="0" w:space="0" w:color="auto"/>
              </w:divBdr>
              <w:divsChild>
                <w:div w:id="7068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2120">
      <w:bodyDiv w:val="1"/>
      <w:marLeft w:val="0"/>
      <w:marRight w:val="0"/>
      <w:marTop w:val="0"/>
      <w:marBottom w:val="0"/>
      <w:divBdr>
        <w:top w:val="none" w:sz="0" w:space="0" w:color="auto"/>
        <w:left w:val="none" w:sz="0" w:space="0" w:color="auto"/>
        <w:bottom w:val="none" w:sz="0" w:space="0" w:color="auto"/>
        <w:right w:val="none" w:sz="0" w:space="0" w:color="auto"/>
      </w:divBdr>
      <w:divsChild>
        <w:div w:id="849370055">
          <w:marLeft w:val="0"/>
          <w:marRight w:val="0"/>
          <w:marTop w:val="0"/>
          <w:marBottom w:val="0"/>
          <w:divBdr>
            <w:top w:val="none" w:sz="0" w:space="0" w:color="auto"/>
            <w:left w:val="none" w:sz="0" w:space="0" w:color="auto"/>
            <w:bottom w:val="none" w:sz="0" w:space="0" w:color="auto"/>
            <w:right w:val="none" w:sz="0" w:space="0" w:color="auto"/>
          </w:divBdr>
          <w:divsChild>
            <w:div w:id="1950234646">
              <w:marLeft w:val="0"/>
              <w:marRight w:val="0"/>
              <w:marTop w:val="0"/>
              <w:marBottom w:val="0"/>
              <w:divBdr>
                <w:top w:val="none" w:sz="0" w:space="0" w:color="auto"/>
                <w:left w:val="none" w:sz="0" w:space="0" w:color="auto"/>
                <w:bottom w:val="none" w:sz="0" w:space="0" w:color="auto"/>
                <w:right w:val="none" w:sz="0" w:space="0" w:color="auto"/>
              </w:divBdr>
              <w:divsChild>
                <w:div w:id="11325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6955">
      <w:bodyDiv w:val="1"/>
      <w:marLeft w:val="0"/>
      <w:marRight w:val="0"/>
      <w:marTop w:val="0"/>
      <w:marBottom w:val="0"/>
      <w:divBdr>
        <w:top w:val="none" w:sz="0" w:space="0" w:color="auto"/>
        <w:left w:val="none" w:sz="0" w:space="0" w:color="auto"/>
        <w:bottom w:val="none" w:sz="0" w:space="0" w:color="auto"/>
        <w:right w:val="none" w:sz="0" w:space="0" w:color="auto"/>
      </w:divBdr>
    </w:div>
    <w:div w:id="1955794580">
      <w:bodyDiv w:val="1"/>
      <w:marLeft w:val="0"/>
      <w:marRight w:val="0"/>
      <w:marTop w:val="0"/>
      <w:marBottom w:val="0"/>
      <w:divBdr>
        <w:top w:val="none" w:sz="0" w:space="0" w:color="auto"/>
        <w:left w:val="none" w:sz="0" w:space="0" w:color="auto"/>
        <w:bottom w:val="none" w:sz="0" w:space="0" w:color="auto"/>
        <w:right w:val="none" w:sz="0" w:space="0" w:color="auto"/>
      </w:divBdr>
      <w:divsChild>
        <w:div w:id="449321108">
          <w:marLeft w:val="0"/>
          <w:marRight w:val="0"/>
          <w:marTop w:val="0"/>
          <w:marBottom w:val="0"/>
          <w:divBdr>
            <w:top w:val="none" w:sz="0" w:space="0" w:color="auto"/>
            <w:left w:val="none" w:sz="0" w:space="0" w:color="auto"/>
            <w:bottom w:val="none" w:sz="0" w:space="0" w:color="auto"/>
            <w:right w:val="none" w:sz="0" w:space="0" w:color="auto"/>
          </w:divBdr>
          <w:divsChild>
            <w:div w:id="345014191">
              <w:marLeft w:val="0"/>
              <w:marRight w:val="0"/>
              <w:marTop w:val="0"/>
              <w:marBottom w:val="0"/>
              <w:divBdr>
                <w:top w:val="none" w:sz="0" w:space="0" w:color="auto"/>
                <w:left w:val="none" w:sz="0" w:space="0" w:color="auto"/>
                <w:bottom w:val="none" w:sz="0" w:space="0" w:color="auto"/>
                <w:right w:val="none" w:sz="0" w:space="0" w:color="auto"/>
              </w:divBdr>
              <w:divsChild>
                <w:div w:id="11859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63044">
      <w:bodyDiv w:val="1"/>
      <w:marLeft w:val="0"/>
      <w:marRight w:val="0"/>
      <w:marTop w:val="0"/>
      <w:marBottom w:val="0"/>
      <w:divBdr>
        <w:top w:val="none" w:sz="0" w:space="0" w:color="auto"/>
        <w:left w:val="none" w:sz="0" w:space="0" w:color="auto"/>
        <w:bottom w:val="none" w:sz="0" w:space="0" w:color="auto"/>
        <w:right w:val="none" w:sz="0" w:space="0" w:color="auto"/>
      </w:divBdr>
      <w:divsChild>
        <w:div w:id="97068061">
          <w:marLeft w:val="0"/>
          <w:marRight w:val="0"/>
          <w:marTop w:val="0"/>
          <w:marBottom w:val="0"/>
          <w:divBdr>
            <w:top w:val="none" w:sz="0" w:space="0" w:color="auto"/>
            <w:left w:val="none" w:sz="0" w:space="0" w:color="auto"/>
            <w:bottom w:val="none" w:sz="0" w:space="0" w:color="auto"/>
            <w:right w:val="none" w:sz="0" w:space="0" w:color="auto"/>
          </w:divBdr>
          <w:divsChild>
            <w:div w:id="690886014">
              <w:marLeft w:val="0"/>
              <w:marRight w:val="0"/>
              <w:marTop w:val="0"/>
              <w:marBottom w:val="0"/>
              <w:divBdr>
                <w:top w:val="none" w:sz="0" w:space="0" w:color="auto"/>
                <w:left w:val="none" w:sz="0" w:space="0" w:color="auto"/>
                <w:bottom w:val="none" w:sz="0" w:space="0" w:color="auto"/>
                <w:right w:val="none" w:sz="0" w:space="0" w:color="auto"/>
              </w:divBdr>
              <w:divsChild>
                <w:div w:id="13588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6384">
      <w:bodyDiv w:val="1"/>
      <w:marLeft w:val="0"/>
      <w:marRight w:val="0"/>
      <w:marTop w:val="0"/>
      <w:marBottom w:val="0"/>
      <w:divBdr>
        <w:top w:val="none" w:sz="0" w:space="0" w:color="auto"/>
        <w:left w:val="none" w:sz="0" w:space="0" w:color="auto"/>
        <w:bottom w:val="none" w:sz="0" w:space="0" w:color="auto"/>
        <w:right w:val="none" w:sz="0" w:space="0" w:color="auto"/>
      </w:divBdr>
      <w:divsChild>
        <w:div w:id="2004627296">
          <w:marLeft w:val="0"/>
          <w:marRight w:val="0"/>
          <w:marTop w:val="0"/>
          <w:marBottom w:val="0"/>
          <w:divBdr>
            <w:top w:val="none" w:sz="0" w:space="0" w:color="auto"/>
            <w:left w:val="none" w:sz="0" w:space="0" w:color="auto"/>
            <w:bottom w:val="none" w:sz="0" w:space="0" w:color="auto"/>
            <w:right w:val="none" w:sz="0" w:space="0" w:color="auto"/>
          </w:divBdr>
          <w:divsChild>
            <w:div w:id="1397241573">
              <w:marLeft w:val="0"/>
              <w:marRight w:val="0"/>
              <w:marTop w:val="0"/>
              <w:marBottom w:val="0"/>
              <w:divBdr>
                <w:top w:val="none" w:sz="0" w:space="0" w:color="auto"/>
                <w:left w:val="none" w:sz="0" w:space="0" w:color="auto"/>
                <w:bottom w:val="none" w:sz="0" w:space="0" w:color="auto"/>
                <w:right w:val="none" w:sz="0" w:space="0" w:color="auto"/>
              </w:divBdr>
              <w:divsChild>
                <w:div w:id="8480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1033">
      <w:bodyDiv w:val="1"/>
      <w:marLeft w:val="0"/>
      <w:marRight w:val="0"/>
      <w:marTop w:val="0"/>
      <w:marBottom w:val="0"/>
      <w:divBdr>
        <w:top w:val="none" w:sz="0" w:space="0" w:color="auto"/>
        <w:left w:val="none" w:sz="0" w:space="0" w:color="auto"/>
        <w:bottom w:val="none" w:sz="0" w:space="0" w:color="auto"/>
        <w:right w:val="none" w:sz="0" w:space="0" w:color="auto"/>
      </w:divBdr>
      <w:divsChild>
        <w:div w:id="682172478">
          <w:marLeft w:val="0"/>
          <w:marRight w:val="0"/>
          <w:marTop w:val="0"/>
          <w:marBottom w:val="0"/>
          <w:divBdr>
            <w:top w:val="none" w:sz="0" w:space="0" w:color="auto"/>
            <w:left w:val="none" w:sz="0" w:space="0" w:color="auto"/>
            <w:bottom w:val="none" w:sz="0" w:space="0" w:color="auto"/>
            <w:right w:val="none" w:sz="0" w:space="0" w:color="auto"/>
          </w:divBdr>
          <w:divsChild>
            <w:div w:id="1626155315">
              <w:marLeft w:val="0"/>
              <w:marRight w:val="0"/>
              <w:marTop w:val="0"/>
              <w:marBottom w:val="0"/>
              <w:divBdr>
                <w:top w:val="none" w:sz="0" w:space="0" w:color="auto"/>
                <w:left w:val="none" w:sz="0" w:space="0" w:color="auto"/>
                <w:bottom w:val="none" w:sz="0" w:space="0" w:color="auto"/>
                <w:right w:val="none" w:sz="0" w:space="0" w:color="auto"/>
              </w:divBdr>
              <w:divsChild>
                <w:div w:id="21014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07057">
      <w:bodyDiv w:val="1"/>
      <w:marLeft w:val="0"/>
      <w:marRight w:val="0"/>
      <w:marTop w:val="0"/>
      <w:marBottom w:val="0"/>
      <w:divBdr>
        <w:top w:val="none" w:sz="0" w:space="0" w:color="auto"/>
        <w:left w:val="none" w:sz="0" w:space="0" w:color="auto"/>
        <w:bottom w:val="none" w:sz="0" w:space="0" w:color="auto"/>
        <w:right w:val="none" w:sz="0" w:space="0" w:color="auto"/>
      </w:divBdr>
      <w:divsChild>
        <w:div w:id="516425668">
          <w:marLeft w:val="0"/>
          <w:marRight w:val="0"/>
          <w:marTop w:val="0"/>
          <w:marBottom w:val="0"/>
          <w:divBdr>
            <w:top w:val="none" w:sz="0" w:space="0" w:color="auto"/>
            <w:left w:val="none" w:sz="0" w:space="0" w:color="auto"/>
            <w:bottom w:val="none" w:sz="0" w:space="0" w:color="auto"/>
            <w:right w:val="none" w:sz="0" w:space="0" w:color="auto"/>
          </w:divBdr>
          <w:divsChild>
            <w:div w:id="146407942">
              <w:marLeft w:val="0"/>
              <w:marRight w:val="0"/>
              <w:marTop w:val="0"/>
              <w:marBottom w:val="0"/>
              <w:divBdr>
                <w:top w:val="none" w:sz="0" w:space="0" w:color="auto"/>
                <w:left w:val="none" w:sz="0" w:space="0" w:color="auto"/>
                <w:bottom w:val="none" w:sz="0" w:space="0" w:color="auto"/>
                <w:right w:val="none" w:sz="0" w:space="0" w:color="auto"/>
              </w:divBdr>
              <w:divsChild>
                <w:div w:id="5707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BD87-B1EE-4B3C-827B-ACF0349B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3525</Words>
  <Characters>20093</Characters>
  <Application>Microsoft Office Word</Application>
  <DocSecurity>0</DocSecurity>
  <Lines>167</Lines>
  <Paragraphs>47</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Antonia  Tamborrino</cp:lastModifiedBy>
  <cp:revision>4</cp:revision>
  <cp:lastPrinted>2015-05-12T18:31:00Z</cp:lastPrinted>
  <dcterms:created xsi:type="dcterms:W3CDTF">2023-08-01T06:00:00Z</dcterms:created>
  <dcterms:modified xsi:type="dcterms:W3CDTF">2023-08-01T06:28:00Z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